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0521E" w14:textId="77777777" w:rsidR="00C92853" w:rsidRPr="0024548A" w:rsidRDefault="00156501" w:rsidP="0024548A">
      <w:pPr>
        <w:pStyle w:val="H1"/>
      </w:pPr>
      <w:r w:rsidRPr="0024548A">
        <w:t>Product Warranty</w:t>
      </w:r>
    </w:p>
    <w:p w14:paraId="0CFB467B" w14:textId="77777777" w:rsidR="00156501" w:rsidRDefault="00156501" w:rsidP="00D205D4">
      <w:pPr>
        <w:ind w:right="-903"/>
      </w:pPr>
    </w:p>
    <w:p w14:paraId="1ECBA0A5" w14:textId="77777777" w:rsidR="00156501" w:rsidRPr="00D02B7D" w:rsidRDefault="00156501" w:rsidP="0024548A">
      <w:pPr>
        <w:pStyle w:val="Maintext"/>
      </w:pPr>
      <w:r w:rsidRPr="00D02B7D">
        <w:rPr>
          <w:rStyle w:val="MaintextChar"/>
        </w:rPr>
        <w:t>Thank y</w:t>
      </w:r>
      <w:r w:rsidRPr="00D02B7D">
        <w:t xml:space="preserve">ou for purchasing your </w:t>
      </w:r>
      <w:r w:rsidRPr="0024548A">
        <w:t>glazing</w:t>
      </w:r>
      <w:r w:rsidRPr="00D02B7D">
        <w:t xml:space="preserve"> product(s) from Exeter Trade Aluminium. </w:t>
      </w:r>
    </w:p>
    <w:p w14:paraId="04DEAA1E" w14:textId="77777777" w:rsidR="00156501" w:rsidRPr="00D02B7D" w:rsidRDefault="00156501" w:rsidP="00D02B7D">
      <w:pPr>
        <w:pStyle w:val="Maintext"/>
      </w:pPr>
      <w:r w:rsidRPr="00D02B7D">
        <w:t xml:space="preserve">By following the simple cleaning and maintenance procedures, many years of </w:t>
      </w:r>
      <w:proofErr w:type="gramStart"/>
      <w:r w:rsidRPr="00D02B7D">
        <w:t>trouble free</w:t>
      </w:r>
      <w:proofErr w:type="gramEnd"/>
      <w:r w:rsidRPr="00D02B7D">
        <w:t xml:space="preserve"> service will be enjoyed, far outlasting the warranty period.</w:t>
      </w:r>
    </w:p>
    <w:p w14:paraId="6D310202" w14:textId="77777777" w:rsidR="00156501" w:rsidRPr="00D02B7D" w:rsidRDefault="00156501" w:rsidP="00D02B7D">
      <w:pPr>
        <w:pStyle w:val="Maintext"/>
      </w:pPr>
      <w:r w:rsidRPr="00D02B7D">
        <w:t>Glazing products supplied by Exeter Trade Aluminium are subject to the following warranty period:</w:t>
      </w:r>
    </w:p>
    <w:tbl>
      <w:tblPr>
        <w:tblStyle w:val="TableGrid"/>
        <w:tblW w:w="0" w:type="auto"/>
        <w:tblLook w:val="04A0" w:firstRow="1" w:lastRow="0" w:firstColumn="1" w:lastColumn="0" w:noHBand="0" w:noVBand="1"/>
      </w:tblPr>
      <w:tblGrid>
        <w:gridCol w:w="1723"/>
        <w:gridCol w:w="2416"/>
        <w:gridCol w:w="1462"/>
        <w:gridCol w:w="4135"/>
      </w:tblGrid>
      <w:tr w:rsidR="00786C56" w14:paraId="12CC619B" w14:textId="77777777" w:rsidTr="002F133A">
        <w:trPr>
          <w:trHeight w:val="850"/>
        </w:trPr>
        <w:tc>
          <w:tcPr>
            <w:tcW w:w="0" w:type="auto"/>
            <w:shd w:val="clear" w:color="auto" w:fill="D9E2F3" w:themeFill="accent1" w:themeFillTint="33"/>
            <w:vAlign w:val="center"/>
          </w:tcPr>
          <w:p w14:paraId="0C270103" w14:textId="77777777" w:rsidR="00156501" w:rsidRPr="00047EFC" w:rsidRDefault="00156501" w:rsidP="0024548A">
            <w:pPr>
              <w:pStyle w:val="TableHeading"/>
            </w:pPr>
            <w:r w:rsidRPr="0024548A">
              <w:t>Brand</w:t>
            </w:r>
          </w:p>
        </w:tc>
        <w:tc>
          <w:tcPr>
            <w:tcW w:w="0" w:type="auto"/>
            <w:shd w:val="clear" w:color="auto" w:fill="D9E2F3" w:themeFill="accent1" w:themeFillTint="33"/>
            <w:vAlign w:val="center"/>
          </w:tcPr>
          <w:p w14:paraId="4F5E9459" w14:textId="77777777" w:rsidR="00156501" w:rsidRPr="00047EFC" w:rsidRDefault="00156501" w:rsidP="000011AA">
            <w:pPr>
              <w:pStyle w:val="TableHeading"/>
              <w:jc w:val="center"/>
            </w:pPr>
            <w:r w:rsidRPr="00047EFC">
              <w:t>Product</w:t>
            </w:r>
          </w:p>
        </w:tc>
        <w:tc>
          <w:tcPr>
            <w:tcW w:w="0" w:type="auto"/>
            <w:shd w:val="clear" w:color="auto" w:fill="D9E2F3" w:themeFill="accent1" w:themeFillTint="33"/>
            <w:vAlign w:val="center"/>
          </w:tcPr>
          <w:p w14:paraId="7A6E0660" w14:textId="77777777" w:rsidR="00047EFC" w:rsidRDefault="00156501" w:rsidP="000011AA">
            <w:pPr>
              <w:pStyle w:val="TableHeading"/>
              <w:jc w:val="center"/>
            </w:pPr>
            <w:r w:rsidRPr="00047EFC">
              <w:t>Warranty</w:t>
            </w:r>
          </w:p>
          <w:p w14:paraId="69F78E3A" w14:textId="77777777" w:rsidR="00156501" w:rsidRPr="00047EFC" w:rsidRDefault="00156501" w:rsidP="000011AA">
            <w:pPr>
              <w:pStyle w:val="TableHeading"/>
              <w:jc w:val="center"/>
            </w:pPr>
            <w:r w:rsidRPr="00047EFC">
              <w:t>Length</w:t>
            </w:r>
          </w:p>
        </w:tc>
        <w:tc>
          <w:tcPr>
            <w:tcW w:w="0" w:type="auto"/>
            <w:shd w:val="clear" w:color="auto" w:fill="D9E2F3" w:themeFill="accent1" w:themeFillTint="33"/>
            <w:vAlign w:val="center"/>
          </w:tcPr>
          <w:p w14:paraId="591842ED" w14:textId="77777777" w:rsidR="00156501" w:rsidRPr="00047EFC" w:rsidRDefault="00156501" w:rsidP="000011AA">
            <w:pPr>
              <w:pStyle w:val="TableHeading"/>
              <w:jc w:val="center"/>
            </w:pPr>
            <w:r w:rsidRPr="00047EFC">
              <w:t>Warranty Details</w:t>
            </w:r>
          </w:p>
        </w:tc>
      </w:tr>
      <w:tr w:rsidR="00D02B7D" w14:paraId="05C55520" w14:textId="77777777" w:rsidTr="002F133A">
        <w:tc>
          <w:tcPr>
            <w:tcW w:w="0" w:type="auto"/>
            <w:vAlign w:val="center"/>
          </w:tcPr>
          <w:p w14:paraId="45C9332D" w14:textId="1F0D5FBF" w:rsidR="00156501" w:rsidRPr="00047EFC" w:rsidRDefault="00156501" w:rsidP="0024548A">
            <w:pPr>
              <w:pStyle w:val="Maintext"/>
            </w:pPr>
            <w:proofErr w:type="spellStart"/>
            <w:r w:rsidRPr="00047EFC">
              <w:t>AluK</w:t>
            </w:r>
            <w:proofErr w:type="spellEnd"/>
          </w:p>
        </w:tc>
        <w:tc>
          <w:tcPr>
            <w:tcW w:w="0" w:type="auto"/>
            <w:vAlign w:val="center"/>
          </w:tcPr>
          <w:p w14:paraId="52BD2435" w14:textId="77777777" w:rsidR="00156501" w:rsidRPr="00047EFC" w:rsidRDefault="00156501" w:rsidP="00047EFC">
            <w:pPr>
              <w:pStyle w:val="Tabletext"/>
            </w:pPr>
            <w:r w:rsidRPr="00047EFC">
              <w:t>Aluminium windows &amp; doors</w:t>
            </w:r>
          </w:p>
        </w:tc>
        <w:tc>
          <w:tcPr>
            <w:tcW w:w="0" w:type="auto"/>
            <w:vAlign w:val="center"/>
          </w:tcPr>
          <w:p w14:paraId="3D22DD72" w14:textId="77777777" w:rsidR="00156501" w:rsidRPr="00047EFC" w:rsidRDefault="00156501" w:rsidP="00047EFC">
            <w:pPr>
              <w:pStyle w:val="Tabletext"/>
            </w:pPr>
            <w:r w:rsidRPr="00047EFC">
              <w:t>Up to 10 Years</w:t>
            </w:r>
          </w:p>
        </w:tc>
        <w:tc>
          <w:tcPr>
            <w:tcW w:w="0" w:type="auto"/>
            <w:vAlign w:val="center"/>
          </w:tcPr>
          <w:p w14:paraId="7D96303B" w14:textId="77777777" w:rsidR="00156501" w:rsidRPr="00047EFC" w:rsidRDefault="00156501" w:rsidP="00047EFC">
            <w:pPr>
              <w:pStyle w:val="Tabletext"/>
            </w:pPr>
            <w:r w:rsidRPr="00047EFC">
              <w:t>- Defects in the surface finish.</w:t>
            </w:r>
          </w:p>
        </w:tc>
      </w:tr>
      <w:tr w:rsidR="00C92853" w14:paraId="3B963690" w14:textId="77777777" w:rsidTr="002F133A">
        <w:tc>
          <w:tcPr>
            <w:tcW w:w="0" w:type="auto"/>
            <w:vAlign w:val="center"/>
          </w:tcPr>
          <w:p w14:paraId="0D118795" w14:textId="3816F118" w:rsidR="00C92853" w:rsidRPr="00047EFC" w:rsidRDefault="00C92853" w:rsidP="00C92853">
            <w:pPr>
              <w:pStyle w:val="Maintext"/>
            </w:pPr>
            <w:proofErr w:type="spellStart"/>
            <w:r>
              <w:t>C</w:t>
            </w:r>
            <w:r w:rsidRPr="00C92853">
              <w:t>ortizo</w:t>
            </w:r>
            <w:proofErr w:type="spellEnd"/>
          </w:p>
        </w:tc>
        <w:tc>
          <w:tcPr>
            <w:tcW w:w="0" w:type="auto"/>
            <w:vAlign w:val="center"/>
          </w:tcPr>
          <w:p w14:paraId="748B0EEE" w14:textId="1CE7E9E9" w:rsidR="00C92853" w:rsidRPr="00047EFC" w:rsidRDefault="00C92853" w:rsidP="00C92853">
            <w:pPr>
              <w:pStyle w:val="Tabletext"/>
            </w:pPr>
            <w:r w:rsidRPr="00047EFC">
              <w:t>Aluminium windows &amp; doors</w:t>
            </w:r>
          </w:p>
        </w:tc>
        <w:tc>
          <w:tcPr>
            <w:tcW w:w="0" w:type="auto"/>
            <w:vAlign w:val="center"/>
          </w:tcPr>
          <w:p w14:paraId="15C8BC52" w14:textId="338714DD" w:rsidR="00C92853" w:rsidRPr="00047EFC" w:rsidRDefault="00C92853" w:rsidP="00C92853">
            <w:pPr>
              <w:pStyle w:val="Tabletext"/>
            </w:pPr>
            <w:r w:rsidRPr="00047EFC">
              <w:t>Up to 10 Years</w:t>
            </w:r>
          </w:p>
        </w:tc>
        <w:tc>
          <w:tcPr>
            <w:tcW w:w="0" w:type="auto"/>
            <w:vAlign w:val="center"/>
          </w:tcPr>
          <w:p w14:paraId="50ED5301" w14:textId="663CA241" w:rsidR="00C92853" w:rsidRPr="00047EFC" w:rsidRDefault="00C92853" w:rsidP="00C92853">
            <w:pPr>
              <w:pStyle w:val="Tabletext"/>
            </w:pPr>
            <w:r w:rsidRPr="00047EFC">
              <w:t>- Defects in the surface finish.</w:t>
            </w:r>
          </w:p>
        </w:tc>
      </w:tr>
      <w:tr w:rsidR="009174DB" w14:paraId="7C5DBF16" w14:textId="77777777" w:rsidTr="002F133A">
        <w:tc>
          <w:tcPr>
            <w:tcW w:w="0" w:type="auto"/>
            <w:vAlign w:val="center"/>
          </w:tcPr>
          <w:p w14:paraId="74E9F956" w14:textId="1A73385F" w:rsidR="009174DB" w:rsidRPr="00047EFC" w:rsidRDefault="009174DB" w:rsidP="009174DB">
            <w:pPr>
              <w:pStyle w:val="Tabletext"/>
            </w:pPr>
            <w:proofErr w:type="spellStart"/>
            <w:r w:rsidRPr="009174DB">
              <w:t>Alunet</w:t>
            </w:r>
            <w:proofErr w:type="spellEnd"/>
          </w:p>
        </w:tc>
        <w:tc>
          <w:tcPr>
            <w:tcW w:w="0" w:type="auto"/>
            <w:vAlign w:val="center"/>
          </w:tcPr>
          <w:p w14:paraId="4F0F524D" w14:textId="3F72892A" w:rsidR="009174DB" w:rsidRPr="00047EFC" w:rsidRDefault="009174DB" w:rsidP="009174DB">
            <w:pPr>
              <w:pStyle w:val="Tabletext"/>
            </w:pPr>
            <w:r w:rsidRPr="00047EFC">
              <w:t>Aluminium windows &amp; doors</w:t>
            </w:r>
          </w:p>
        </w:tc>
        <w:tc>
          <w:tcPr>
            <w:tcW w:w="0" w:type="auto"/>
            <w:vAlign w:val="center"/>
          </w:tcPr>
          <w:p w14:paraId="19D529C5" w14:textId="55FF4A97" w:rsidR="009174DB" w:rsidRPr="00047EFC" w:rsidRDefault="009174DB" w:rsidP="009174DB">
            <w:pPr>
              <w:pStyle w:val="Tabletext"/>
            </w:pPr>
            <w:r w:rsidRPr="00047EFC">
              <w:t>Up to 10 Years</w:t>
            </w:r>
          </w:p>
        </w:tc>
        <w:tc>
          <w:tcPr>
            <w:tcW w:w="0" w:type="auto"/>
            <w:vAlign w:val="center"/>
          </w:tcPr>
          <w:p w14:paraId="21B01D38" w14:textId="7E12FD0E" w:rsidR="009174DB" w:rsidRPr="00047EFC" w:rsidRDefault="009174DB" w:rsidP="009174DB">
            <w:pPr>
              <w:pStyle w:val="Tabletext"/>
            </w:pPr>
            <w:r w:rsidRPr="00047EFC">
              <w:t>- Defects in the surface finish.</w:t>
            </w:r>
          </w:p>
        </w:tc>
      </w:tr>
      <w:tr w:rsidR="009174DB" w14:paraId="7479B137" w14:textId="77777777" w:rsidTr="002F133A">
        <w:tc>
          <w:tcPr>
            <w:tcW w:w="0" w:type="auto"/>
            <w:vAlign w:val="center"/>
          </w:tcPr>
          <w:p w14:paraId="7E5F72AE" w14:textId="77777777" w:rsidR="009174DB" w:rsidRPr="00047EFC" w:rsidRDefault="009174DB" w:rsidP="009174DB">
            <w:pPr>
              <w:pStyle w:val="Tabletext"/>
            </w:pPr>
            <w:proofErr w:type="spellStart"/>
            <w:r w:rsidRPr="00047EFC">
              <w:t>Reynaers</w:t>
            </w:r>
            <w:proofErr w:type="spellEnd"/>
          </w:p>
        </w:tc>
        <w:tc>
          <w:tcPr>
            <w:tcW w:w="0" w:type="auto"/>
            <w:vAlign w:val="center"/>
          </w:tcPr>
          <w:p w14:paraId="2EBF770C" w14:textId="77777777" w:rsidR="009174DB" w:rsidRPr="00047EFC" w:rsidRDefault="009174DB" w:rsidP="009174DB">
            <w:pPr>
              <w:pStyle w:val="Tabletext"/>
            </w:pPr>
            <w:r w:rsidRPr="00047EFC">
              <w:t>Aluminium windows &amp; doors</w:t>
            </w:r>
          </w:p>
        </w:tc>
        <w:tc>
          <w:tcPr>
            <w:tcW w:w="0" w:type="auto"/>
            <w:vAlign w:val="center"/>
          </w:tcPr>
          <w:p w14:paraId="0246C854" w14:textId="77777777" w:rsidR="009174DB" w:rsidRPr="00047EFC" w:rsidRDefault="009174DB" w:rsidP="009174DB">
            <w:pPr>
              <w:pStyle w:val="Tabletext"/>
            </w:pPr>
            <w:r w:rsidRPr="00047EFC">
              <w:t>Up to 10 Years</w:t>
            </w:r>
          </w:p>
        </w:tc>
        <w:tc>
          <w:tcPr>
            <w:tcW w:w="0" w:type="auto"/>
            <w:vAlign w:val="center"/>
          </w:tcPr>
          <w:p w14:paraId="707FDE22" w14:textId="77777777" w:rsidR="009174DB" w:rsidRPr="00047EFC" w:rsidRDefault="009174DB" w:rsidP="009174DB">
            <w:pPr>
              <w:pStyle w:val="Tabletext"/>
            </w:pPr>
            <w:r w:rsidRPr="00047EFC">
              <w:t>- Defects in the surface finish.</w:t>
            </w:r>
          </w:p>
        </w:tc>
      </w:tr>
      <w:tr w:rsidR="009174DB" w14:paraId="39E3015E" w14:textId="77777777" w:rsidTr="002F133A">
        <w:tc>
          <w:tcPr>
            <w:tcW w:w="0" w:type="auto"/>
            <w:vMerge w:val="restart"/>
            <w:vAlign w:val="center"/>
          </w:tcPr>
          <w:p w14:paraId="7B908D47" w14:textId="77777777" w:rsidR="009174DB" w:rsidRPr="00047EFC" w:rsidRDefault="009174DB" w:rsidP="009174DB">
            <w:pPr>
              <w:pStyle w:val="Tabletext"/>
            </w:pPr>
            <w:r w:rsidRPr="00047EFC">
              <w:t>Origin</w:t>
            </w:r>
          </w:p>
        </w:tc>
        <w:tc>
          <w:tcPr>
            <w:tcW w:w="0" w:type="auto"/>
            <w:vMerge w:val="restart"/>
            <w:vAlign w:val="center"/>
          </w:tcPr>
          <w:p w14:paraId="7388D832" w14:textId="77777777" w:rsidR="009174DB" w:rsidRPr="00047EFC" w:rsidRDefault="009174DB" w:rsidP="009174DB">
            <w:pPr>
              <w:pStyle w:val="Tabletext"/>
            </w:pPr>
            <w:r w:rsidRPr="00047EFC">
              <w:t xml:space="preserve">Aluminium </w:t>
            </w:r>
            <w:r w:rsidRPr="00047EFC">
              <w:rPr>
                <w:noProof/>
              </w:rPr>
              <w:t>windows &amp; bi-fold doors (OB-49, OB-7</w:t>
            </w:r>
            <w:r w:rsidRPr="00047EFC">
              <w:t>2 &amp; OW-80)</w:t>
            </w:r>
          </w:p>
        </w:tc>
        <w:tc>
          <w:tcPr>
            <w:tcW w:w="0" w:type="auto"/>
            <w:vAlign w:val="center"/>
          </w:tcPr>
          <w:p w14:paraId="63DAFCA9" w14:textId="77777777" w:rsidR="009174DB" w:rsidRPr="00047EFC" w:rsidRDefault="009174DB" w:rsidP="009174DB">
            <w:pPr>
              <w:pStyle w:val="Tabletext"/>
            </w:pPr>
            <w:r w:rsidRPr="00047EFC">
              <w:t>Up to 20 Years</w:t>
            </w:r>
          </w:p>
        </w:tc>
        <w:tc>
          <w:tcPr>
            <w:tcW w:w="0" w:type="auto"/>
            <w:vAlign w:val="center"/>
          </w:tcPr>
          <w:p w14:paraId="631BBB08" w14:textId="77777777" w:rsidR="009174DB" w:rsidRPr="00047EFC" w:rsidRDefault="009174DB" w:rsidP="009174DB">
            <w:pPr>
              <w:pStyle w:val="Tabletext"/>
            </w:pPr>
            <w:r w:rsidRPr="00047EFC">
              <w:t>- Defects in the frame and hardware.</w:t>
            </w:r>
          </w:p>
        </w:tc>
      </w:tr>
      <w:tr w:rsidR="009174DB" w14:paraId="4CD8197B" w14:textId="77777777" w:rsidTr="002F133A">
        <w:tc>
          <w:tcPr>
            <w:tcW w:w="0" w:type="auto"/>
            <w:vMerge/>
            <w:vAlign w:val="center"/>
          </w:tcPr>
          <w:p w14:paraId="54B8365C" w14:textId="77777777" w:rsidR="009174DB" w:rsidRPr="00047EFC" w:rsidRDefault="009174DB" w:rsidP="009174DB">
            <w:pPr>
              <w:pStyle w:val="Tabletext"/>
            </w:pPr>
          </w:p>
        </w:tc>
        <w:tc>
          <w:tcPr>
            <w:tcW w:w="0" w:type="auto"/>
            <w:vMerge/>
            <w:vAlign w:val="center"/>
          </w:tcPr>
          <w:p w14:paraId="3A0A3EA4" w14:textId="77777777" w:rsidR="009174DB" w:rsidRPr="00047EFC" w:rsidRDefault="009174DB" w:rsidP="009174DB">
            <w:pPr>
              <w:pStyle w:val="Tabletext"/>
            </w:pPr>
          </w:p>
        </w:tc>
        <w:tc>
          <w:tcPr>
            <w:tcW w:w="0" w:type="auto"/>
            <w:vAlign w:val="center"/>
          </w:tcPr>
          <w:p w14:paraId="3611DD8A" w14:textId="77777777" w:rsidR="009174DB" w:rsidRPr="00047EFC" w:rsidRDefault="009174DB" w:rsidP="009174DB">
            <w:pPr>
              <w:pStyle w:val="Tabletext"/>
            </w:pPr>
            <w:r w:rsidRPr="00047EFC">
              <w:t>Up to 10 Years</w:t>
            </w:r>
          </w:p>
        </w:tc>
        <w:tc>
          <w:tcPr>
            <w:tcW w:w="0" w:type="auto"/>
            <w:vAlign w:val="center"/>
          </w:tcPr>
          <w:p w14:paraId="666CC74E" w14:textId="77777777" w:rsidR="009174DB" w:rsidRPr="00047EFC" w:rsidRDefault="009174DB" w:rsidP="009174DB">
            <w:pPr>
              <w:pStyle w:val="Tabletext"/>
            </w:pPr>
            <w:r w:rsidRPr="00047EFC">
              <w:t>- Defects to woodgrain finish.</w:t>
            </w:r>
          </w:p>
          <w:p w14:paraId="7626E2CF" w14:textId="77777777" w:rsidR="009174DB" w:rsidRPr="00047EFC" w:rsidRDefault="009174DB" w:rsidP="009174DB">
            <w:pPr>
              <w:pStyle w:val="Tabletext"/>
            </w:pPr>
            <w:r w:rsidRPr="00047EFC">
              <w:t xml:space="preserve">- Defects in the frame if installed within 1000 -2000m of a </w:t>
            </w:r>
            <w:proofErr w:type="gramStart"/>
            <w:r w:rsidRPr="00047EFC">
              <w:t>marine environments</w:t>
            </w:r>
            <w:proofErr w:type="gramEnd"/>
            <w:r w:rsidRPr="00047EFC">
              <w:t xml:space="preserve">. </w:t>
            </w:r>
          </w:p>
        </w:tc>
      </w:tr>
      <w:tr w:rsidR="009174DB" w14:paraId="62052CEE" w14:textId="77777777" w:rsidTr="002F133A">
        <w:tc>
          <w:tcPr>
            <w:tcW w:w="0" w:type="auto"/>
            <w:vMerge/>
            <w:vAlign w:val="center"/>
          </w:tcPr>
          <w:p w14:paraId="19566E4F" w14:textId="77777777" w:rsidR="009174DB" w:rsidRPr="00047EFC" w:rsidRDefault="009174DB" w:rsidP="009174DB">
            <w:pPr>
              <w:pStyle w:val="Tabletext"/>
            </w:pPr>
          </w:p>
        </w:tc>
        <w:tc>
          <w:tcPr>
            <w:tcW w:w="0" w:type="auto"/>
            <w:vMerge/>
            <w:vAlign w:val="center"/>
          </w:tcPr>
          <w:p w14:paraId="23D29262" w14:textId="77777777" w:rsidR="009174DB" w:rsidRPr="00047EFC" w:rsidRDefault="009174DB" w:rsidP="009174DB">
            <w:pPr>
              <w:pStyle w:val="Tabletext"/>
            </w:pPr>
          </w:p>
        </w:tc>
        <w:tc>
          <w:tcPr>
            <w:tcW w:w="0" w:type="auto"/>
            <w:vAlign w:val="center"/>
          </w:tcPr>
          <w:p w14:paraId="60469097" w14:textId="77777777" w:rsidR="009174DB" w:rsidRPr="00047EFC" w:rsidRDefault="009174DB" w:rsidP="009174DB">
            <w:pPr>
              <w:pStyle w:val="Tabletext"/>
            </w:pPr>
            <w:r w:rsidRPr="00047EFC">
              <w:t>Up to 5 Years</w:t>
            </w:r>
          </w:p>
        </w:tc>
        <w:tc>
          <w:tcPr>
            <w:tcW w:w="0" w:type="auto"/>
            <w:vAlign w:val="center"/>
          </w:tcPr>
          <w:p w14:paraId="0E25ECA4" w14:textId="77777777" w:rsidR="009174DB" w:rsidRPr="00047EFC" w:rsidRDefault="009174DB" w:rsidP="009174DB">
            <w:pPr>
              <w:pStyle w:val="Tabletext"/>
            </w:pPr>
            <w:r w:rsidRPr="00047EFC">
              <w:t>- Defects in the frame if installed within 1000m of a marine environment.</w:t>
            </w:r>
          </w:p>
          <w:p w14:paraId="5FF405C0" w14:textId="77777777" w:rsidR="009174DB" w:rsidRPr="00047EFC" w:rsidRDefault="009174DB" w:rsidP="009174DB">
            <w:pPr>
              <w:pStyle w:val="Tabletext"/>
            </w:pPr>
            <w:r w:rsidRPr="00047EFC">
              <w:t>- Woodgrain finish installed within 1000 – 2000m of a marine environment.</w:t>
            </w:r>
          </w:p>
          <w:p w14:paraId="2F8D7D1A" w14:textId="77777777" w:rsidR="009174DB" w:rsidRPr="00047EFC" w:rsidRDefault="009174DB" w:rsidP="009174DB">
            <w:pPr>
              <w:pStyle w:val="Tabletext"/>
            </w:pPr>
            <w:r w:rsidRPr="00047EFC">
              <w:t>- Hardware coated in a marine finish within 1000 – 2000m of a marine environment.</w:t>
            </w:r>
          </w:p>
        </w:tc>
      </w:tr>
      <w:tr w:rsidR="009174DB" w14:paraId="47607AAD" w14:textId="77777777" w:rsidTr="002F133A">
        <w:tc>
          <w:tcPr>
            <w:tcW w:w="0" w:type="auto"/>
            <w:vMerge/>
            <w:vAlign w:val="center"/>
          </w:tcPr>
          <w:p w14:paraId="7B99822B" w14:textId="77777777" w:rsidR="009174DB" w:rsidRPr="00047EFC" w:rsidRDefault="009174DB" w:rsidP="009174DB">
            <w:pPr>
              <w:pStyle w:val="Tabletext"/>
            </w:pPr>
          </w:p>
        </w:tc>
        <w:tc>
          <w:tcPr>
            <w:tcW w:w="0" w:type="auto"/>
            <w:vMerge/>
            <w:vAlign w:val="center"/>
          </w:tcPr>
          <w:p w14:paraId="4B23B869" w14:textId="77777777" w:rsidR="009174DB" w:rsidRPr="00047EFC" w:rsidRDefault="009174DB" w:rsidP="009174DB">
            <w:pPr>
              <w:pStyle w:val="Tabletext"/>
            </w:pPr>
          </w:p>
        </w:tc>
        <w:tc>
          <w:tcPr>
            <w:tcW w:w="0" w:type="auto"/>
            <w:vAlign w:val="center"/>
          </w:tcPr>
          <w:p w14:paraId="346679AC" w14:textId="77777777" w:rsidR="009174DB" w:rsidRPr="00047EFC" w:rsidRDefault="009174DB" w:rsidP="009174DB">
            <w:pPr>
              <w:pStyle w:val="Tabletext"/>
            </w:pPr>
            <w:r w:rsidRPr="00047EFC">
              <w:t>Up to 3 Years</w:t>
            </w:r>
          </w:p>
        </w:tc>
        <w:tc>
          <w:tcPr>
            <w:tcW w:w="0" w:type="auto"/>
            <w:vAlign w:val="center"/>
          </w:tcPr>
          <w:p w14:paraId="5A569A0B" w14:textId="77777777" w:rsidR="009174DB" w:rsidRPr="00047EFC" w:rsidRDefault="009174DB" w:rsidP="009174DB">
            <w:pPr>
              <w:pStyle w:val="Tabletext"/>
            </w:pPr>
            <w:r w:rsidRPr="00047EFC">
              <w:t>- Hardware coated in a marine finish within 1000 of a marine environment.</w:t>
            </w:r>
          </w:p>
        </w:tc>
      </w:tr>
      <w:tr w:rsidR="009174DB" w14:paraId="59D55728" w14:textId="77777777" w:rsidTr="002F133A">
        <w:tc>
          <w:tcPr>
            <w:tcW w:w="0" w:type="auto"/>
            <w:vMerge/>
            <w:vAlign w:val="center"/>
          </w:tcPr>
          <w:p w14:paraId="5B4F2127" w14:textId="77777777" w:rsidR="009174DB" w:rsidRPr="00047EFC" w:rsidRDefault="009174DB" w:rsidP="009174DB">
            <w:pPr>
              <w:pStyle w:val="Tabletext"/>
            </w:pPr>
          </w:p>
        </w:tc>
        <w:tc>
          <w:tcPr>
            <w:tcW w:w="0" w:type="auto"/>
            <w:vMerge/>
            <w:vAlign w:val="center"/>
          </w:tcPr>
          <w:p w14:paraId="05B7BB00" w14:textId="77777777" w:rsidR="009174DB" w:rsidRPr="00047EFC" w:rsidRDefault="009174DB" w:rsidP="009174DB">
            <w:pPr>
              <w:pStyle w:val="Tabletext"/>
            </w:pPr>
          </w:p>
        </w:tc>
        <w:tc>
          <w:tcPr>
            <w:tcW w:w="0" w:type="auto"/>
            <w:vAlign w:val="center"/>
          </w:tcPr>
          <w:p w14:paraId="748D9CB4" w14:textId="77777777" w:rsidR="009174DB" w:rsidRPr="00047EFC" w:rsidRDefault="009174DB" w:rsidP="009174DB">
            <w:pPr>
              <w:pStyle w:val="Tabletext"/>
            </w:pPr>
            <w:r w:rsidRPr="00047EFC">
              <w:t>1 Year</w:t>
            </w:r>
          </w:p>
        </w:tc>
        <w:tc>
          <w:tcPr>
            <w:tcW w:w="0" w:type="auto"/>
            <w:vAlign w:val="center"/>
          </w:tcPr>
          <w:p w14:paraId="77C19DF2" w14:textId="77777777" w:rsidR="009174DB" w:rsidRPr="00047EFC" w:rsidRDefault="009174DB" w:rsidP="009174DB">
            <w:pPr>
              <w:pStyle w:val="Tabletext"/>
            </w:pPr>
            <w:r w:rsidRPr="00047EFC">
              <w:t xml:space="preserve">- For frames &amp; hardware within commercial installations. </w:t>
            </w:r>
          </w:p>
        </w:tc>
      </w:tr>
      <w:tr w:rsidR="009174DB" w14:paraId="21023E9D" w14:textId="77777777" w:rsidTr="002F133A">
        <w:tc>
          <w:tcPr>
            <w:tcW w:w="0" w:type="auto"/>
            <w:vMerge/>
            <w:vAlign w:val="center"/>
          </w:tcPr>
          <w:p w14:paraId="687D7850" w14:textId="77777777" w:rsidR="009174DB" w:rsidRPr="00047EFC" w:rsidRDefault="009174DB" w:rsidP="009174DB">
            <w:pPr>
              <w:pStyle w:val="Tabletext"/>
            </w:pPr>
          </w:p>
        </w:tc>
        <w:tc>
          <w:tcPr>
            <w:tcW w:w="0" w:type="auto"/>
            <w:vMerge w:val="restart"/>
            <w:vAlign w:val="center"/>
          </w:tcPr>
          <w:p w14:paraId="307D8CA6" w14:textId="77777777" w:rsidR="009174DB" w:rsidRPr="00047EFC" w:rsidRDefault="009174DB" w:rsidP="009174DB">
            <w:pPr>
              <w:pStyle w:val="Tabletext"/>
            </w:pPr>
            <w:r w:rsidRPr="00047EFC">
              <w:t>Front doors</w:t>
            </w:r>
          </w:p>
        </w:tc>
        <w:tc>
          <w:tcPr>
            <w:tcW w:w="0" w:type="auto"/>
            <w:vAlign w:val="center"/>
          </w:tcPr>
          <w:p w14:paraId="5B89923F" w14:textId="77777777" w:rsidR="009174DB" w:rsidRPr="00047EFC" w:rsidRDefault="009174DB" w:rsidP="009174DB">
            <w:pPr>
              <w:pStyle w:val="Tabletext"/>
            </w:pPr>
            <w:r w:rsidRPr="00047EFC">
              <w:t>Up to 20 Years</w:t>
            </w:r>
          </w:p>
        </w:tc>
        <w:tc>
          <w:tcPr>
            <w:tcW w:w="0" w:type="auto"/>
            <w:vAlign w:val="center"/>
          </w:tcPr>
          <w:p w14:paraId="47BC61D7" w14:textId="77777777" w:rsidR="009174DB" w:rsidRPr="00047EFC" w:rsidRDefault="009174DB" w:rsidP="009174DB">
            <w:pPr>
              <w:pStyle w:val="Tabletext"/>
            </w:pPr>
            <w:r w:rsidRPr="00047EFC">
              <w:t>- Defects in the frame.</w:t>
            </w:r>
          </w:p>
        </w:tc>
      </w:tr>
      <w:tr w:rsidR="009174DB" w14:paraId="548C0C69" w14:textId="77777777" w:rsidTr="002F133A">
        <w:tc>
          <w:tcPr>
            <w:tcW w:w="0" w:type="auto"/>
            <w:vMerge/>
            <w:vAlign w:val="center"/>
          </w:tcPr>
          <w:p w14:paraId="6E28C7C7" w14:textId="77777777" w:rsidR="009174DB" w:rsidRPr="00047EFC" w:rsidRDefault="009174DB" w:rsidP="009174DB">
            <w:pPr>
              <w:pStyle w:val="Tabletext"/>
            </w:pPr>
          </w:p>
        </w:tc>
        <w:tc>
          <w:tcPr>
            <w:tcW w:w="0" w:type="auto"/>
            <w:vMerge/>
            <w:vAlign w:val="center"/>
          </w:tcPr>
          <w:p w14:paraId="2D8506B8" w14:textId="77777777" w:rsidR="009174DB" w:rsidRPr="00047EFC" w:rsidRDefault="009174DB" w:rsidP="009174DB">
            <w:pPr>
              <w:pStyle w:val="Tabletext"/>
            </w:pPr>
          </w:p>
        </w:tc>
        <w:tc>
          <w:tcPr>
            <w:tcW w:w="0" w:type="auto"/>
            <w:vAlign w:val="center"/>
          </w:tcPr>
          <w:p w14:paraId="635F8A32" w14:textId="77777777" w:rsidR="009174DB" w:rsidRPr="00047EFC" w:rsidRDefault="009174DB" w:rsidP="009174DB">
            <w:pPr>
              <w:pStyle w:val="Tabletext"/>
            </w:pPr>
            <w:r w:rsidRPr="00047EFC">
              <w:t>Up to 10 Years</w:t>
            </w:r>
          </w:p>
        </w:tc>
        <w:tc>
          <w:tcPr>
            <w:tcW w:w="0" w:type="auto"/>
            <w:vAlign w:val="center"/>
          </w:tcPr>
          <w:p w14:paraId="634599B2" w14:textId="77777777" w:rsidR="009174DB" w:rsidRPr="00047EFC" w:rsidRDefault="009174DB" w:rsidP="009174DB">
            <w:pPr>
              <w:pStyle w:val="Tabletext"/>
            </w:pPr>
            <w:r w:rsidRPr="00047EFC">
              <w:t>- Defects in the frame if installed within 1000 – 2000m of a marine environment.</w:t>
            </w:r>
          </w:p>
          <w:p w14:paraId="00263356" w14:textId="77777777" w:rsidR="009174DB" w:rsidRPr="00047EFC" w:rsidRDefault="009174DB" w:rsidP="009174DB">
            <w:pPr>
              <w:pStyle w:val="Tabletext"/>
            </w:pPr>
            <w:r w:rsidRPr="00047EFC">
              <w:t>- Defects in the door panel and hardware.</w:t>
            </w:r>
          </w:p>
        </w:tc>
      </w:tr>
      <w:tr w:rsidR="009174DB" w14:paraId="2D6DFC46" w14:textId="77777777" w:rsidTr="002F133A">
        <w:tc>
          <w:tcPr>
            <w:tcW w:w="0" w:type="auto"/>
            <w:vMerge/>
            <w:vAlign w:val="center"/>
          </w:tcPr>
          <w:p w14:paraId="1BC4EB65" w14:textId="77777777" w:rsidR="009174DB" w:rsidRPr="00047EFC" w:rsidRDefault="009174DB" w:rsidP="009174DB">
            <w:pPr>
              <w:pStyle w:val="Tabletext"/>
            </w:pPr>
          </w:p>
        </w:tc>
        <w:tc>
          <w:tcPr>
            <w:tcW w:w="0" w:type="auto"/>
            <w:vMerge/>
            <w:vAlign w:val="center"/>
          </w:tcPr>
          <w:p w14:paraId="6C873BFC" w14:textId="77777777" w:rsidR="009174DB" w:rsidRPr="00047EFC" w:rsidRDefault="009174DB" w:rsidP="009174DB">
            <w:pPr>
              <w:pStyle w:val="Tabletext"/>
            </w:pPr>
          </w:p>
        </w:tc>
        <w:tc>
          <w:tcPr>
            <w:tcW w:w="0" w:type="auto"/>
            <w:vAlign w:val="center"/>
          </w:tcPr>
          <w:p w14:paraId="1B151887" w14:textId="77777777" w:rsidR="009174DB" w:rsidRPr="00047EFC" w:rsidRDefault="009174DB" w:rsidP="009174DB">
            <w:pPr>
              <w:pStyle w:val="Tabletext"/>
            </w:pPr>
            <w:r w:rsidRPr="00047EFC">
              <w:t>Up to 5 Years</w:t>
            </w:r>
          </w:p>
        </w:tc>
        <w:tc>
          <w:tcPr>
            <w:tcW w:w="0" w:type="auto"/>
            <w:vAlign w:val="center"/>
          </w:tcPr>
          <w:p w14:paraId="135AAEC4" w14:textId="77777777" w:rsidR="009174DB" w:rsidRPr="00047EFC" w:rsidRDefault="009174DB" w:rsidP="009174DB">
            <w:pPr>
              <w:pStyle w:val="Tabletext"/>
            </w:pPr>
            <w:r w:rsidRPr="00047EFC">
              <w:t>- Defects in the door panel if installed within 1000 – 2000m of a marine environment.</w:t>
            </w:r>
          </w:p>
          <w:p w14:paraId="18EF3FC4" w14:textId="77777777" w:rsidR="009174DB" w:rsidRPr="00047EFC" w:rsidRDefault="009174DB" w:rsidP="009174DB">
            <w:pPr>
              <w:pStyle w:val="Tabletext"/>
            </w:pPr>
            <w:r w:rsidRPr="00047EFC">
              <w:t>- Defects in the frame and door panel if installed within 1000m of a marine environment.</w:t>
            </w:r>
          </w:p>
        </w:tc>
      </w:tr>
      <w:tr w:rsidR="009174DB" w14:paraId="1101C409" w14:textId="77777777" w:rsidTr="002F133A">
        <w:tc>
          <w:tcPr>
            <w:tcW w:w="0" w:type="auto"/>
            <w:vMerge/>
            <w:vAlign w:val="center"/>
          </w:tcPr>
          <w:p w14:paraId="6F73DA80" w14:textId="77777777" w:rsidR="009174DB" w:rsidRPr="00047EFC" w:rsidRDefault="009174DB" w:rsidP="009174DB">
            <w:pPr>
              <w:pStyle w:val="Tabletext"/>
            </w:pPr>
          </w:p>
        </w:tc>
        <w:tc>
          <w:tcPr>
            <w:tcW w:w="0" w:type="auto"/>
            <w:vMerge/>
            <w:vAlign w:val="center"/>
          </w:tcPr>
          <w:p w14:paraId="4A924EDE" w14:textId="77777777" w:rsidR="009174DB" w:rsidRPr="00047EFC" w:rsidRDefault="009174DB" w:rsidP="009174DB">
            <w:pPr>
              <w:pStyle w:val="Tabletext"/>
            </w:pPr>
          </w:p>
        </w:tc>
        <w:tc>
          <w:tcPr>
            <w:tcW w:w="0" w:type="auto"/>
            <w:vAlign w:val="center"/>
          </w:tcPr>
          <w:p w14:paraId="69E889EA" w14:textId="77777777" w:rsidR="009174DB" w:rsidRPr="00047EFC" w:rsidRDefault="009174DB" w:rsidP="009174DB">
            <w:pPr>
              <w:pStyle w:val="Tabletext"/>
            </w:pPr>
            <w:r w:rsidRPr="00047EFC">
              <w:t>1 Year</w:t>
            </w:r>
          </w:p>
        </w:tc>
        <w:tc>
          <w:tcPr>
            <w:tcW w:w="0" w:type="auto"/>
            <w:vAlign w:val="center"/>
          </w:tcPr>
          <w:p w14:paraId="18FFCC19" w14:textId="77777777" w:rsidR="009174DB" w:rsidRPr="00047EFC" w:rsidRDefault="009174DB" w:rsidP="009174DB">
            <w:pPr>
              <w:pStyle w:val="Tabletext"/>
            </w:pPr>
            <w:r w:rsidRPr="00047EFC">
              <w:t>- Hardware within 2000m of a marine environment.</w:t>
            </w:r>
          </w:p>
          <w:p w14:paraId="284598C0" w14:textId="77777777" w:rsidR="009174DB" w:rsidRPr="00047EFC" w:rsidRDefault="009174DB" w:rsidP="009174DB">
            <w:pPr>
              <w:pStyle w:val="Tabletext"/>
            </w:pPr>
            <w:r w:rsidRPr="00047EFC">
              <w:t xml:space="preserve">- For frames, panels &amp; hardware within commercial installations. </w:t>
            </w:r>
          </w:p>
        </w:tc>
      </w:tr>
      <w:tr w:rsidR="009174DB" w14:paraId="05C61917" w14:textId="77777777" w:rsidTr="002F133A">
        <w:tc>
          <w:tcPr>
            <w:tcW w:w="0" w:type="auto"/>
            <w:vMerge/>
            <w:vAlign w:val="center"/>
          </w:tcPr>
          <w:p w14:paraId="0BCA4F49" w14:textId="77777777" w:rsidR="009174DB" w:rsidRPr="00047EFC" w:rsidRDefault="009174DB" w:rsidP="009174DB">
            <w:pPr>
              <w:pStyle w:val="Tabletext"/>
            </w:pPr>
          </w:p>
        </w:tc>
        <w:tc>
          <w:tcPr>
            <w:tcW w:w="0" w:type="auto"/>
            <w:vMerge w:val="restart"/>
            <w:vAlign w:val="center"/>
          </w:tcPr>
          <w:p w14:paraId="6B5057F8" w14:textId="77777777" w:rsidR="009174DB" w:rsidRPr="00047EFC" w:rsidRDefault="009174DB" w:rsidP="009174DB">
            <w:pPr>
              <w:pStyle w:val="Tabletext"/>
            </w:pPr>
            <w:r w:rsidRPr="00047EFC">
              <w:t>Aluminium inline patio sliding door (OS-29, OS-44 &amp; OS-77)</w:t>
            </w:r>
          </w:p>
        </w:tc>
        <w:tc>
          <w:tcPr>
            <w:tcW w:w="0" w:type="auto"/>
            <w:vAlign w:val="center"/>
          </w:tcPr>
          <w:p w14:paraId="044BA4A2" w14:textId="77777777" w:rsidR="009174DB" w:rsidRPr="00047EFC" w:rsidRDefault="009174DB" w:rsidP="009174DB">
            <w:pPr>
              <w:pStyle w:val="Tabletext"/>
            </w:pPr>
            <w:r w:rsidRPr="00047EFC">
              <w:t>Up to 20 Years</w:t>
            </w:r>
          </w:p>
        </w:tc>
        <w:tc>
          <w:tcPr>
            <w:tcW w:w="0" w:type="auto"/>
            <w:vAlign w:val="center"/>
          </w:tcPr>
          <w:p w14:paraId="64F77EBE" w14:textId="77777777" w:rsidR="009174DB" w:rsidRPr="00047EFC" w:rsidRDefault="009174DB" w:rsidP="009174DB">
            <w:pPr>
              <w:pStyle w:val="Tabletext"/>
            </w:pPr>
            <w:r w:rsidRPr="00047EFC">
              <w:t>- Defects in the frame and hardware</w:t>
            </w:r>
          </w:p>
        </w:tc>
      </w:tr>
      <w:tr w:rsidR="009174DB" w14:paraId="0C6C0E53" w14:textId="77777777" w:rsidTr="002F133A">
        <w:tc>
          <w:tcPr>
            <w:tcW w:w="0" w:type="auto"/>
            <w:vMerge/>
            <w:vAlign w:val="center"/>
          </w:tcPr>
          <w:p w14:paraId="1BBD4792" w14:textId="77777777" w:rsidR="009174DB" w:rsidRPr="00047EFC" w:rsidRDefault="009174DB" w:rsidP="009174DB">
            <w:pPr>
              <w:pStyle w:val="Tabletext"/>
            </w:pPr>
          </w:p>
        </w:tc>
        <w:tc>
          <w:tcPr>
            <w:tcW w:w="0" w:type="auto"/>
            <w:vMerge/>
            <w:vAlign w:val="center"/>
          </w:tcPr>
          <w:p w14:paraId="476F7911" w14:textId="77777777" w:rsidR="009174DB" w:rsidRPr="00047EFC" w:rsidRDefault="009174DB" w:rsidP="009174DB">
            <w:pPr>
              <w:pStyle w:val="Tabletext"/>
            </w:pPr>
          </w:p>
        </w:tc>
        <w:tc>
          <w:tcPr>
            <w:tcW w:w="0" w:type="auto"/>
            <w:vAlign w:val="center"/>
          </w:tcPr>
          <w:p w14:paraId="1A845087" w14:textId="77777777" w:rsidR="009174DB" w:rsidRPr="00047EFC" w:rsidRDefault="009174DB" w:rsidP="009174DB">
            <w:pPr>
              <w:pStyle w:val="Tabletext"/>
            </w:pPr>
            <w:r w:rsidRPr="00047EFC">
              <w:t>Up to 10 Years</w:t>
            </w:r>
          </w:p>
        </w:tc>
        <w:tc>
          <w:tcPr>
            <w:tcW w:w="0" w:type="auto"/>
            <w:vAlign w:val="center"/>
          </w:tcPr>
          <w:p w14:paraId="61120C3B" w14:textId="77777777" w:rsidR="009174DB" w:rsidRPr="00047EFC" w:rsidRDefault="009174DB" w:rsidP="009174DB">
            <w:pPr>
              <w:pStyle w:val="Tabletext"/>
            </w:pPr>
            <w:r w:rsidRPr="00047EFC">
              <w:t xml:space="preserve">- For frames installed within 1000-2000m of a </w:t>
            </w:r>
            <w:proofErr w:type="gramStart"/>
            <w:r w:rsidRPr="00047EFC">
              <w:t>marine environments</w:t>
            </w:r>
            <w:proofErr w:type="gramEnd"/>
            <w:r w:rsidRPr="00047EFC">
              <w:t xml:space="preserve">. </w:t>
            </w:r>
          </w:p>
        </w:tc>
      </w:tr>
      <w:tr w:rsidR="009174DB" w14:paraId="15A9B63F" w14:textId="77777777" w:rsidTr="002F133A">
        <w:tc>
          <w:tcPr>
            <w:tcW w:w="0" w:type="auto"/>
            <w:vMerge/>
            <w:vAlign w:val="center"/>
          </w:tcPr>
          <w:p w14:paraId="286E464B" w14:textId="77777777" w:rsidR="009174DB" w:rsidRPr="00047EFC" w:rsidRDefault="009174DB" w:rsidP="009174DB">
            <w:pPr>
              <w:pStyle w:val="Tabletext"/>
            </w:pPr>
          </w:p>
        </w:tc>
        <w:tc>
          <w:tcPr>
            <w:tcW w:w="0" w:type="auto"/>
            <w:vMerge/>
            <w:vAlign w:val="center"/>
          </w:tcPr>
          <w:p w14:paraId="298B714E" w14:textId="77777777" w:rsidR="009174DB" w:rsidRPr="00047EFC" w:rsidRDefault="009174DB" w:rsidP="009174DB">
            <w:pPr>
              <w:pStyle w:val="Tabletext"/>
            </w:pPr>
          </w:p>
        </w:tc>
        <w:tc>
          <w:tcPr>
            <w:tcW w:w="0" w:type="auto"/>
            <w:vAlign w:val="center"/>
          </w:tcPr>
          <w:p w14:paraId="658690CE" w14:textId="77777777" w:rsidR="009174DB" w:rsidRPr="00047EFC" w:rsidRDefault="009174DB" w:rsidP="009174DB">
            <w:pPr>
              <w:pStyle w:val="Tabletext"/>
            </w:pPr>
            <w:r w:rsidRPr="00047EFC">
              <w:t>Up to 5 Years</w:t>
            </w:r>
          </w:p>
        </w:tc>
        <w:tc>
          <w:tcPr>
            <w:tcW w:w="0" w:type="auto"/>
            <w:vAlign w:val="center"/>
          </w:tcPr>
          <w:p w14:paraId="766E1602" w14:textId="77777777" w:rsidR="009174DB" w:rsidRPr="00047EFC" w:rsidRDefault="009174DB" w:rsidP="009174DB">
            <w:pPr>
              <w:pStyle w:val="Tabletext"/>
            </w:pPr>
            <w:r w:rsidRPr="00047EFC">
              <w:t xml:space="preserve">- Defect to the running gear and hardware coated in a marine finish, when installed within 1000-2000m of a marine environment. </w:t>
            </w:r>
          </w:p>
          <w:p w14:paraId="784F4F7F" w14:textId="77777777" w:rsidR="009174DB" w:rsidRPr="00047EFC" w:rsidRDefault="009174DB" w:rsidP="009174DB">
            <w:pPr>
              <w:pStyle w:val="Tabletext"/>
            </w:pPr>
            <w:r w:rsidRPr="00047EFC">
              <w:t xml:space="preserve">- For frames, and running gear installed within 1000m of a </w:t>
            </w:r>
            <w:proofErr w:type="gramStart"/>
            <w:r w:rsidRPr="00047EFC">
              <w:t>marine environments</w:t>
            </w:r>
            <w:proofErr w:type="gramEnd"/>
            <w:r w:rsidRPr="00047EFC">
              <w:t>.</w:t>
            </w:r>
          </w:p>
        </w:tc>
      </w:tr>
      <w:tr w:rsidR="009174DB" w14:paraId="48AB5A47" w14:textId="77777777" w:rsidTr="002F133A">
        <w:tc>
          <w:tcPr>
            <w:tcW w:w="0" w:type="auto"/>
            <w:vMerge/>
            <w:vAlign w:val="center"/>
          </w:tcPr>
          <w:p w14:paraId="2AC15326" w14:textId="77777777" w:rsidR="009174DB" w:rsidRPr="00047EFC" w:rsidRDefault="009174DB" w:rsidP="009174DB">
            <w:pPr>
              <w:pStyle w:val="Tabletext"/>
            </w:pPr>
          </w:p>
        </w:tc>
        <w:tc>
          <w:tcPr>
            <w:tcW w:w="0" w:type="auto"/>
            <w:vMerge/>
            <w:vAlign w:val="center"/>
          </w:tcPr>
          <w:p w14:paraId="559F9E7D" w14:textId="77777777" w:rsidR="009174DB" w:rsidRPr="00047EFC" w:rsidRDefault="009174DB" w:rsidP="009174DB">
            <w:pPr>
              <w:pStyle w:val="Tabletext"/>
            </w:pPr>
          </w:p>
        </w:tc>
        <w:tc>
          <w:tcPr>
            <w:tcW w:w="0" w:type="auto"/>
            <w:vAlign w:val="center"/>
          </w:tcPr>
          <w:p w14:paraId="678FF866" w14:textId="77777777" w:rsidR="009174DB" w:rsidRPr="00047EFC" w:rsidRDefault="009174DB" w:rsidP="009174DB">
            <w:pPr>
              <w:pStyle w:val="Tabletext"/>
            </w:pPr>
            <w:r w:rsidRPr="00047EFC">
              <w:t>Up to 3 Years</w:t>
            </w:r>
          </w:p>
        </w:tc>
        <w:tc>
          <w:tcPr>
            <w:tcW w:w="0" w:type="auto"/>
            <w:vAlign w:val="center"/>
          </w:tcPr>
          <w:p w14:paraId="19395CD7" w14:textId="77777777" w:rsidR="009174DB" w:rsidRPr="00047EFC" w:rsidRDefault="009174DB" w:rsidP="009174DB">
            <w:pPr>
              <w:pStyle w:val="Tabletext"/>
            </w:pPr>
            <w:r w:rsidRPr="00047EFC">
              <w:t>- Hardware within 1000m of a marine environment.</w:t>
            </w:r>
          </w:p>
        </w:tc>
      </w:tr>
      <w:tr w:rsidR="009174DB" w14:paraId="713B4877" w14:textId="77777777" w:rsidTr="002F133A">
        <w:tc>
          <w:tcPr>
            <w:tcW w:w="0" w:type="auto"/>
            <w:vMerge/>
            <w:vAlign w:val="center"/>
          </w:tcPr>
          <w:p w14:paraId="70B33C24" w14:textId="77777777" w:rsidR="009174DB" w:rsidRPr="00047EFC" w:rsidRDefault="009174DB" w:rsidP="009174DB">
            <w:pPr>
              <w:pStyle w:val="Tabletext"/>
            </w:pPr>
          </w:p>
        </w:tc>
        <w:tc>
          <w:tcPr>
            <w:tcW w:w="0" w:type="auto"/>
            <w:vMerge w:val="restart"/>
            <w:vAlign w:val="center"/>
          </w:tcPr>
          <w:p w14:paraId="271735EE" w14:textId="77777777" w:rsidR="009174DB" w:rsidRPr="00047EFC" w:rsidRDefault="009174DB" w:rsidP="009174DB">
            <w:pPr>
              <w:pStyle w:val="Tabletext"/>
            </w:pPr>
            <w:r w:rsidRPr="00047EFC">
              <w:t>Internal Door</w:t>
            </w:r>
          </w:p>
        </w:tc>
        <w:tc>
          <w:tcPr>
            <w:tcW w:w="0" w:type="auto"/>
            <w:vAlign w:val="center"/>
          </w:tcPr>
          <w:p w14:paraId="407CA0E3" w14:textId="77777777" w:rsidR="009174DB" w:rsidRPr="00047EFC" w:rsidRDefault="009174DB" w:rsidP="009174DB">
            <w:pPr>
              <w:pStyle w:val="Tabletext"/>
            </w:pPr>
            <w:r w:rsidRPr="00047EFC">
              <w:t>20 Years</w:t>
            </w:r>
          </w:p>
        </w:tc>
        <w:tc>
          <w:tcPr>
            <w:tcW w:w="0" w:type="auto"/>
            <w:vAlign w:val="center"/>
          </w:tcPr>
          <w:p w14:paraId="0834EB80" w14:textId="77777777" w:rsidR="009174DB" w:rsidRPr="00047EFC" w:rsidRDefault="009174DB" w:rsidP="009174DB">
            <w:pPr>
              <w:pStyle w:val="Tabletext"/>
            </w:pPr>
            <w:r w:rsidRPr="00047EFC">
              <w:t>- Defects in the frame and hardware</w:t>
            </w:r>
          </w:p>
        </w:tc>
      </w:tr>
      <w:tr w:rsidR="009174DB" w14:paraId="276B373E" w14:textId="77777777" w:rsidTr="002F133A">
        <w:tc>
          <w:tcPr>
            <w:tcW w:w="0" w:type="auto"/>
            <w:vMerge/>
            <w:vAlign w:val="center"/>
          </w:tcPr>
          <w:p w14:paraId="0A57FB90" w14:textId="77777777" w:rsidR="009174DB" w:rsidRPr="00047EFC" w:rsidRDefault="009174DB" w:rsidP="009174DB">
            <w:pPr>
              <w:pStyle w:val="Tabletext"/>
            </w:pPr>
          </w:p>
        </w:tc>
        <w:tc>
          <w:tcPr>
            <w:tcW w:w="0" w:type="auto"/>
            <w:vMerge/>
            <w:vAlign w:val="center"/>
          </w:tcPr>
          <w:p w14:paraId="6C5A8060" w14:textId="77777777" w:rsidR="009174DB" w:rsidRPr="00047EFC" w:rsidRDefault="009174DB" w:rsidP="009174DB">
            <w:pPr>
              <w:pStyle w:val="Tabletext"/>
            </w:pPr>
          </w:p>
        </w:tc>
        <w:tc>
          <w:tcPr>
            <w:tcW w:w="0" w:type="auto"/>
            <w:vAlign w:val="center"/>
          </w:tcPr>
          <w:p w14:paraId="66FBE480" w14:textId="77777777" w:rsidR="009174DB" w:rsidRPr="00047EFC" w:rsidRDefault="009174DB" w:rsidP="009174DB">
            <w:pPr>
              <w:pStyle w:val="Tabletext"/>
            </w:pPr>
            <w:r w:rsidRPr="00047EFC">
              <w:t>5 Years</w:t>
            </w:r>
          </w:p>
        </w:tc>
        <w:tc>
          <w:tcPr>
            <w:tcW w:w="0" w:type="auto"/>
            <w:vAlign w:val="center"/>
          </w:tcPr>
          <w:p w14:paraId="6879E5A1" w14:textId="77777777" w:rsidR="009174DB" w:rsidRPr="00047EFC" w:rsidRDefault="009174DB" w:rsidP="009174DB">
            <w:pPr>
              <w:pStyle w:val="Tabletext"/>
            </w:pPr>
            <w:r w:rsidRPr="00047EFC">
              <w:t>- Defects in the frame and hardware for swimming pool installations</w:t>
            </w:r>
          </w:p>
        </w:tc>
      </w:tr>
      <w:tr w:rsidR="009174DB" w14:paraId="4E004FE5" w14:textId="77777777" w:rsidTr="002F133A">
        <w:tc>
          <w:tcPr>
            <w:tcW w:w="0" w:type="auto"/>
            <w:vMerge w:val="restart"/>
            <w:vAlign w:val="center"/>
          </w:tcPr>
          <w:p w14:paraId="573312A0" w14:textId="77777777" w:rsidR="009174DB" w:rsidRPr="00047EFC" w:rsidRDefault="009174DB" w:rsidP="009174DB">
            <w:pPr>
              <w:pStyle w:val="Tabletext"/>
            </w:pPr>
            <w:r w:rsidRPr="00047EFC">
              <w:t>Morley/Uni Blinds</w:t>
            </w:r>
          </w:p>
        </w:tc>
        <w:tc>
          <w:tcPr>
            <w:tcW w:w="0" w:type="auto"/>
            <w:vMerge w:val="restart"/>
            <w:vAlign w:val="center"/>
          </w:tcPr>
          <w:p w14:paraId="5D5E5A71" w14:textId="77777777" w:rsidR="009174DB" w:rsidRPr="00047EFC" w:rsidRDefault="009174DB" w:rsidP="009174DB">
            <w:pPr>
              <w:pStyle w:val="Tabletext"/>
            </w:pPr>
            <w:r w:rsidRPr="00047EFC">
              <w:t>Integral blinds and sealed glazing unit</w:t>
            </w:r>
          </w:p>
        </w:tc>
        <w:tc>
          <w:tcPr>
            <w:tcW w:w="0" w:type="auto"/>
            <w:vAlign w:val="center"/>
          </w:tcPr>
          <w:p w14:paraId="07C0847C" w14:textId="77777777" w:rsidR="009174DB" w:rsidRPr="00047EFC" w:rsidRDefault="009174DB" w:rsidP="009174DB">
            <w:pPr>
              <w:pStyle w:val="Tabletext"/>
            </w:pPr>
            <w:r w:rsidRPr="00047EFC">
              <w:t>5 Years</w:t>
            </w:r>
          </w:p>
        </w:tc>
        <w:tc>
          <w:tcPr>
            <w:tcW w:w="0" w:type="auto"/>
            <w:vAlign w:val="center"/>
          </w:tcPr>
          <w:p w14:paraId="7FA73DF1" w14:textId="77777777" w:rsidR="009174DB" w:rsidRPr="00047EFC" w:rsidRDefault="009174DB" w:rsidP="009174DB">
            <w:pPr>
              <w:pStyle w:val="Tabletext"/>
            </w:pPr>
            <w:r w:rsidRPr="00047EFC">
              <w:t>- Defects in the glazing unit in accordance with GGF’s Quality of Vision’ standards.</w:t>
            </w:r>
          </w:p>
        </w:tc>
      </w:tr>
      <w:tr w:rsidR="009174DB" w14:paraId="671DEBC8" w14:textId="77777777" w:rsidTr="002F133A">
        <w:tc>
          <w:tcPr>
            <w:tcW w:w="0" w:type="auto"/>
            <w:vMerge/>
            <w:vAlign w:val="center"/>
          </w:tcPr>
          <w:p w14:paraId="7D05DC14" w14:textId="77777777" w:rsidR="009174DB" w:rsidRPr="00047EFC" w:rsidRDefault="009174DB" w:rsidP="009174DB">
            <w:pPr>
              <w:pStyle w:val="Tabletext"/>
            </w:pPr>
          </w:p>
        </w:tc>
        <w:tc>
          <w:tcPr>
            <w:tcW w:w="0" w:type="auto"/>
            <w:vMerge/>
            <w:vAlign w:val="center"/>
          </w:tcPr>
          <w:p w14:paraId="64D8EDF0" w14:textId="77777777" w:rsidR="009174DB" w:rsidRPr="00047EFC" w:rsidRDefault="009174DB" w:rsidP="009174DB">
            <w:pPr>
              <w:pStyle w:val="Tabletext"/>
            </w:pPr>
          </w:p>
        </w:tc>
        <w:tc>
          <w:tcPr>
            <w:tcW w:w="0" w:type="auto"/>
            <w:vAlign w:val="center"/>
          </w:tcPr>
          <w:p w14:paraId="712D07FF" w14:textId="77777777" w:rsidR="009174DB" w:rsidRPr="00047EFC" w:rsidRDefault="009174DB" w:rsidP="009174DB">
            <w:pPr>
              <w:pStyle w:val="Tabletext"/>
            </w:pPr>
            <w:r w:rsidRPr="00047EFC">
              <w:t>2 Years</w:t>
            </w:r>
          </w:p>
        </w:tc>
        <w:tc>
          <w:tcPr>
            <w:tcW w:w="0" w:type="auto"/>
            <w:vAlign w:val="center"/>
          </w:tcPr>
          <w:p w14:paraId="6798AC7B" w14:textId="77777777" w:rsidR="009174DB" w:rsidRPr="00047EFC" w:rsidRDefault="009174DB" w:rsidP="009174DB">
            <w:pPr>
              <w:pStyle w:val="Tabletext"/>
            </w:pPr>
            <w:r w:rsidRPr="00047EFC">
              <w:t xml:space="preserve">- Defects in the integral blind components.   </w:t>
            </w:r>
          </w:p>
        </w:tc>
      </w:tr>
      <w:tr w:rsidR="009174DB" w14:paraId="7E14B854" w14:textId="77777777" w:rsidTr="002F133A">
        <w:tc>
          <w:tcPr>
            <w:tcW w:w="0" w:type="auto"/>
            <w:vMerge w:val="restart"/>
            <w:vAlign w:val="center"/>
          </w:tcPr>
          <w:p w14:paraId="01EB5697" w14:textId="77777777" w:rsidR="009174DB" w:rsidRPr="00047EFC" w:rsidRDefault="009174DB" w:rsidP="009174DB">
            <w:pPr>
              <w:pStyle w:val="Tabletext"/>
            </w:pPr>
            <w:r w:rsidRPr="00047EFC">
              <w:lastRenderedPageBreak/>
              <w:t>Roof Lights</w:t>
            </w:r>
          </w:p>
        </w:tc>
        <w:tc>
          <w:tcPr>
            <w:tcW w:w="0" w:type="auto"/>
            <w:vMerge w:val="restart"/>
            <w:vAlign w:val="center"/>
          </w:tcPr>
          <w:p w14:paraId="3C6586CB" w14:textId="77777777" w:rsidR="009174DB" w:rsidRPr="00047EFC" w:rsidRDefault="009174DB" w:rsidP="009174DB">
            <w:pPr>
              <w:pStyle w:val="Tabletext"/>
            </w:pPr>
          </w:p>
        </w:tc>
        <w:tc>
          <w:tcPr>
            <w:tcW w:w="0" w:type="auto"/>
            <w:vAlign w:val="center"/>
          </w:tcPr>
          <w:p w14:paraId="1DF0EC79" w14:textId="77777777" w:rsidR="009174DB" w:rsidRPr="00047EFC" w:rsidRDefault="009174DB" w:rsidP="009174DB">
            <w:pPr>
              <w:pStyle w:val="Tabletext"/>
            </w:pPr>
            <w:r w:rsidRPr="00047EFC">
              <w:t>10 Years</w:t>
            </w:r>
          </w:p>
        </w:tc>
        <w:tc>
          <w:tcPr>
            <w:tcW w:w="0" w:type="auto"/>
            <w:vAlign w:val="center"/>
          </w:tcPr>
          <w:p w14:paraId="3EAC9674" w14:textId="77777777" w:rsidR="009174DB" w:rsidRPr="00047EFC" w:rsidRDefault="009174DB" w:rsidP="009174DB">
            <w:pPr>
              <w:pStyle w:val="Tabletext"/>
            </w:pPr>
            <w:r w:rsidRPr="00047EFC">
              <w:t>- Frame profile and glazing defects in accordance with GGF’s Quality of Vision’ standards.</w:t>
            </w:r>
          </w:p>
        </w:tc>
      </w:tr>
      <w:tr w:rsidR="009174DB" w14:paraId="28372054" w14:textId="77777777" w:rsidTr="002F133A">
        <w:tc>
          <w:tcPr>
            <w:tcW w:w="0" w:type="auto"/>
            <w:vMerge/>
            <w:vAlign w:val="center"/>
          </w:tcPr>
          <w:p w14:paraId="7BF066B3" w14:textId="77777777" w:rsidR="009174DB" w:rsidRPr="00047EFC" w:rsidRDefault="009174DB" w:rsidP="009174DB">
            <w:pPr>
              <w:pStyle w:val="Tabletext"/>
            </w:pPr>
          </w:p>
        </w:tc>
        <w:tc>
          <w:tcPr>
            <w:tcW w:w="0" w:type="auto"/>
            <w:vMerge/>
            <w:vAlign w:val="center"/>
          </w:tcPr>
          <w:p w14:paraId="50A0C85A" w14:textId="77777777" w:rsidR="009174DB" w:rsidRPr="00047EFC" w:rsidRDefault="009174DB" w:rsidP="009174DB">
            <w:pPr>
              <w:pStyle w:val="Tabletext"/>
            </w:pPr>
          </w:p>
        </w:tc>
        <w:tc>
          <w:tcPr>
            <w:tcW w:w="0" w:type="auto"/>
            <w:vAlign w:val="center"/>
          </w:tcPr>
          <w:p w14:paraId="4333111E" w14:textId="77777777" w:rsidR="009174DB" w:rsidRPr="00047EFC" w:rsidRDefault="009174DB" w:rsidP="009174DB">
            <w:pPr>
              <w:pStyle w:val="Tabletext"/>
            </w:pPr>
            <w:r w:rsidRPr="00047EFC">
              <w:t>1 Year</w:t>
            </w:r>
          </w:p>
        </w:tc>
        <w:tc>
          <w:tcPr>
            <w:tcW w:w="0" w:type="auto"/>
            <w:vAlign w:val="center"/>
          </w:tcPr>
          <w:p w14:paraId="19247F5F" w14:textId="77777777" w:rsidR="009174DB" w:rsidRPr="00047EFC" w:rsidRDefault="009174DB" w:rsidP="009174DB">
            <w:pPr>
              <w:pStyle w:val="Tabletext"/>
            </w:pPr>
            <w:r w:rsidRPr="00047EFC">
              <w:t xml:space="preserve">- Electrical item defects, such as switches </w:t>
            </w:r>
          </w:p>
        </w:tc>
      </w:tr>
      <w:tr w:rsidR="009174DB" w14:paraId="065ADAA7" w14:textId="77777777" w:rsidTr="002F133A">
        <w:tc>
          <w:tcPr>
            <w:tcW w:w="0" w:type="auto"/>
            <w:vAlign w:val="center"/>
          </w:tcPr>
          <w:p w14:paraId="65DFEE8F" w14:textId="77777777" w:rsidR="009174DB" w:rsidRPr="00047EFC" w:rsidRDefault="009174DB" w:rsidP="009174DB">
            <w:pPr>
              <w:pStyle w:val="Tabletext"/>
            </w:pPr>
            <w:r w:rsidRPr="00047EFC">
              <w:t>Glass</w:t>
            </w:r>
          </w:p>
        </w:tc>
        <w:tc>
          <w:tcPr>
            <w:tcW w:w="0" w:type="auto"/>
            <w:vAlign w:val="center"/>
          </w:tcPr>
          <w:p w14:paraId="5ACFDF0E" w14:textId="1AC1E3BD" w:rsidR="009174DB" w:rsidRPr="00047EFC" w:rsidRDefault="009174DB" w:rsidP="009174DB">
            <w:pPr>
              <w:pStyle w:val="Tabletext"/>
            </w:pPr>
            <w:r>
              <w:t>Sealed unit</w:t>
            </w:r>
          </w:p>
        </w:tc>
        <w:tc>
          <w:tcPr>
            <w:tcW w:w="0" w:type="auto"/>
            <w:vAlign w:val="center"/>
          </w:tcPr>
          <w:p w14:paraId="73AD06A2" w14:textId="77777777" w:rsidR="009174DB" w:rsidRPr="00047EFC" w:rsidRDefault="009174DB" w:rsidP="009174DB">
            <w:pPr>
              <w:pStyle w:val="Tabletext"/>
            </w:pPr>
            <w:r>
              <w:t>5</w:t>
            </w:r>
            <w:r w:rsidRPr="00047EFC">
              <w:t xml:space="preserve"> Years</w:t>
            </w:r>
          </w:p>
        </w:tc>
        <w:tc>
          <w:tcPr>
            <w:tcW w:w="0" w:type="auto"/>
            <w:vAlign w:val="center"/>
          </w:tcPr>
          <w:p w14:paraId="4FE459EE" w14:textId="77777777" w:rsidR="009174DB" w:rsidRPr="00047EFC" w:rsidRDefault="009174DB" w:rsidP="009174DB">
            <w:pPr>
              <w:pStyle w:val="Tabletext"/>
            </w:pPr>
            <w:r w:rsidRPr="00047EFC">
              <w:t>- Defects in double and triple glazed sealed units in accordance with GGF’s Quality of Vision’ standards.</w:t>
            </w:r>
          </w:p>
        </w:tc>
      </w:tr>
      <w:tr w:rsidR="009174DB" w14:paraId="4D92619B" w14:textId="77777777" w:rsidTr="002F133A">
        <w:tc>
          <w:tcPr>
            <w:tcW w:w="0" w:type="auto"/>
            <w:vAlign w:val="center"/>
          </w:tcPr>
          <w:p w14:paraId="6682EE51" w14:textId="77777777" w:rsidR="009174DB" w:rsidRPr="00047EFC" w:rsidRDefault="009174DB" w:rsidP="009174DB">
            <w:pPr>
              <w:pStyle w:val="Tabletext"/>
            </w:pPr>
            <w:r w:rsidRPr="00047EFC">
              <w:t>Glass – shaped/curved</w:t>
            </w:r>
            <w:r>
              <w:br/>
            </w:r>
            <w:r w:rsidRPr="00047EFC">
              <w:rPr>
                <w:noProof/>
              </w:rPr>
              <w:t>/bespoke</w:t>
            </w:r>
          </w:p>
        </w:tc>
        <w:tc>
          <w:tcPr>
            <w:tcW w:w="0" w:type="auto"/>
            <w:vAlign w:val="center"/>
          </w:tcPr>
          <w:p w14:paraId="47FD755D" w14:textId="77777777" w:rsidR="009174DB" w:rsidRPr="00047EFC" w:rsidRDefault="009174DB" w:rsidP="009174DB">
            <w:pPr>
              <w:pStyle w:val="Tabletext"/>
            </w:pPr>
            <w:r w:rsidRPr="00047EFC">
              <w:t>Glazing</w:t>
            </w:r>
          </w:p>
        </w:tc>
        <w:tc>
          <w:tcPr>
            <w:tcW w:w="0" w:type="auto"/>
            <w:vAlign w:val="center"/>
          </w:tcPr>
          <w:p w14:paraId="618C45C1" w14:textId="77777777" w:rsidR="009174DB" w:rsidRPr="00047EFC" w:rsidRDefault="009174DB" w:rsidP="009174DB">
            <w:pPr>
              <w:pStyle w:val="Tabletext"/>
            </w:pPr>
            <w:r w:rsidRPr="00047EFC">
              <w:t>2 Years</w:t>
            </w:r>
          </w:p>
        </w:tc>
        <w:tc>
          <w:tcPr>
            <w:tcW w:w="0" w:type="auto"/>
            <w:vAlign w:val="center"/>
          </w:tcPr>
          <w:p w14:paraId="5D5CD634" w14:textId="77777777" w:rsidR="009174DB" w:rsidRPr="00047EFC" w:rsidRDefault="009174DB" w:rsidP="009174DB">
            <w:pPr>
              <w:pStyle w:val="Tabletext"/>
            </w:pPr>
            <w:r w:rsidRPr="00047EFC">
              <w:t>- Defects in double and triple glazed sealed units in accordance with GGF’s Quality of Vision’ standards.</w:t>
            </w:r>
          </w:p>
        </w:tc>
      </w:tr>
      <w:tr w:rsidR="009174DB" w14:paraId="067EC488" w14:textId="77777777" w:rsidTr="002F133A">
        <w:tc>
          <w:tcPr>
            <w:tcW w:w="0" w:type="auto"/>
            <w:vAlign w:val="center"/>
          </w:tcPr>
          <w:p w14:paraId="03B7538D" w14:textId="77777777" w:rsidR="009174DB" w:rsidRPr="00047EFC" w:rsidRDefault="009174DB" w:rsidP="009174DB">
            <w:pPr>
              <w:pStyle w:val="Tabletext"/>
              <w:rPr>
                <w:noProof/>
              </w:rPr>
            </w:pPr>
            <w:r w:rsidRPr="00047EFC">
              <w:t>Hardware/</w:t>
            </w:r>
            <w:r>
              <w:br/>
            </w:r>
            <w:r w:rsidRPr="00047EFC">
              <w:t>Accessories</w:t>
            </w:r>
          </w:p>
        </w:tc>
        <w:tc>
          <w:tcPr>
            <w:tcW w:w="0" w:type="auto"/>
            <w:vAlign w:val="center"/>
          </w:tcPr>
          <w:p w14:paraId="2B0CEC57" w14:textId="77777777" w:rsidR="009174DB" w:rsidRPr="00047EFC" w:rsidRDefault="009174DB" w:rsidP="009174DB">
            <w:pPr>
              <w:pStyle w:val="Tabletext"/>
            </w:pPr>
          </w:p>
        </w:tc>
        <w:tc>
          <w:tcPr>
            <w:tcW w:w="0" w:type="auto"/>
            <w:vAlign w:val="center"/>
          </w:tcPr>
          <w:p w14:paraId="29D38E36" w14:textId="77777777" w:rsidR="009174DB" w:rsidRPr="00047EFC" w:rsidRDefault="009174DB" w:rsidP="009174DB">
            <w:pPr>
              <w:pStyle w:val="Tabletext"/>
            </w:pPr>
            <w:r w:rsidRPr="00047EFC">
              <w:t>1 Year</w:t>
            </w:r>
          </w:p>
        </w:tc>
        <w:tc>
          <w:tcPr>
            <w:tcW w:w="0" w:type="auto"/>
            <w:vAlign w:val="center"/>
          </w:tcPr>
          <w:p w14:paraId="340387D5" w14:textId="77777777" w:rsidR="009174DB" w:rsidRPr="00047EFC" w:rsidRDefault="009174DB" w:rsidP="009174DB">
            <w:pPr>
              <w:pStyle w:val="Tabletext"/>
            </w:pPr>
            <w:r w:rsidRPr="00047EFC">
              <w:t>- Hardware defects, unless otherwise stated.</w:t>
            </w:r>
          </w:p>
        </w:tc>
      </w:tr>
    </w:tbl>
    <w:p w14:paraId="48465A31" w14:textId="6A971954" w:rsidR="00D02B7D" w:rsidRDefault="0024548A" w:rsidP="00D02B7D">
      <w:pPr>
        <w:pStyle w:val="Maintext"/>
      </w:pPr>
      <w:r>
        <w:br/>
      </w:r>
      <w:r w:rsidR="00D02B7D">
        <w:t xml:space="preserve">All guarantee periods will not apply if products and/or components fail due to: negligence, vandalism, wilful damage, extreme environmental conditions, or wear and tear. </w:t>
      </w:r>
    </w:p>
    <w:p w14:paraId="4DFED9E6" w14:textId="0814970F" w:rsidR="00D02B7D" w:rsidRDefault="00D02B7D" w:rsidP="0024548A">
      <w:pPr>
        <w:pStyle w:val="Maintext"/>
      </w:pPr>
      <w:r>
        <w:t xml:space="preserve">The glass warranty does not cover glass breakages for any reason, including the very rare risk of spontaneous breakage </w:t>
      </w:r>
      <w:r w:rsidRPr="0024548A">
        <w:t>due</w:t>
      </w:r>
      <w:r>
        <w:t xml:space="preserve"> to nickel sulphide inclusion</w:t>
      </w:r>
      <w:r w:rsidR="00D829C1">
        <w:t xml:space="preserve"> (please see page 5 for further information)</w:t>
      </w:r>
      <w:r>
        <w:t xml:space="preserve">.  </w:t>
      </w:r>
    </w:p>
    <w:p w14:paraId="44FA2D10" w14:textId="77777777" w:rsidR="00DD19B7" w:rsidRDefault="00D02B7D" w:rsidP="00D02B7D">
      <w:pPr>
        <w:pStyle w:val="Maintext"/>
      </w:pPr>
      <w:r>
        <w:t xml:space="preserve">Please note installations within 3.2 miles of a marine location can affect the warranty length, and require a maintenance log to be kept. </w:t>
      </w:r>
    </w:p>
    <w:p w14:paraId="4C9F96DA" w14:textId="41B3953D" w:rsidR="00D02B7D" w:rsidRPr="00DD19B7" w:rsidRDefault="00D02B7D" w:rsidP="00DD19B7">
      <w:pPr>
        <w:pStyle w:val="Maintext"/>
      </w:pPr>
      <w:r>
        <w:t xml:space="preserve">All warranties are subject to following the product care and maintenance guides. </w:t>
      </w:r>
      <w:r w:rsidR="00924CBC" w:rsidRPr="00F94739">
        <w:t xml:space="preserve">Individual brands care and maintenance guides can be found at: </w:t>
      </w:r>
      <w:r w:rsidR="00924CBC" w:rsidRPr="00F94739">
        <w:br/>
      </w:r>
      <w:hyperlink r:id="rId8" w:history="1">
        <w:r w:rsidR="00924CBC" w:rsidRPr="00AF6887">
          <w:rPr>
            <w:rStyle w:val="LinksChar"/>
          </w:rPr>
          <w:t>https://exetertradealuminium.co.uk/downloads/</w:t>
        </w:r>
      </w:hyperlink>
      <w:r w:rsidR="00924CBC" w:rsidRPr="00F94739">
        <w:t xml:space="preserve"> </w:t>
      </w:r>
      <w:r w:rsidR="0024548A">
        <w:br/>
      </w:r>
    </w:p>
    <w:tbl>
      <w:tblPr>
        <w:tblStyle w:val="TableGrid"/>
        <w:tblW w:w="0" w:type="auto"/>
        <w:tblLook w:val="04A0" w:firstRow="1" w:lastRow="0" w:firstColumn="1" w:lastColumn="0" w:noHBand="0" w:noVBand="1"/>
      </w:tblPr>
      <w:tblGrid>
        <w:gridCol w:w="2547"/>
        <w:gridCol w:w="7189"/>
      </w:tblGrid>
      <w:tr w:rsidR="00924CBC" w14:paraId="5B0B29FE" w14:textId="77777777" w:rsidTr="00924CBC">
        <w:tc>
          <w:tcPr>
            <w:tcW w:w="2547" w:type="dxa"/>
            <w:tcBorders>
              <w:top w:val="single" w:sz="4" w:space="0" w:color="FFFFFF" w:themeColor="background1"/>
              <w:left w:val="single" w:sz="4" w:space="0" w:color="FFFFFF" w:themeColor="background1"/>
              <w:bottom w:val="single" w:sz="4" w:space="0" w:color="FFFFFF" w:themeColor="background1"/>
            </w:tcBorders>
            <w:vAlign w:val="center"/>
          </w:tcPr>
          <w:p w14:paraId="216B1372" w14:textId="67E8858E" w:rsidR="00924CBC" w:rsidRPr="00924CBC" w:rsidRDefault="005D7A6A" w:rsidP="00924CBC">
            <w:pPr>
              <w:pStyle w:val="TableHeading"/>
            </w:pPr>
            <w:r w:rsidRPr="005D7A6A">
              <w:t>Purchaser</w:t>
            </w:r>
            <w:r w:rsidR="00924CBC" w:rsidRPr="00924CBC">
              <w:t xml:space="preserve"> Name:</w:t>
            </w:r>
          </w:p>
        </w:tc>
        <w:tc>
          <w:tcPr>
            <w:tcW w:w="7189" w:type="dxa"/>
            <w:vAlign w:val="center"/>
          </w:tcPr>
          <w:p w14:paraId="23D5C59F" w14:textId="77777777" w:rsidR="00924CBC" w:rsidRPr="00924CBC" w:rsidRDefault="00924CBC" w:rsidP="00924CBC">
            <w:pPr>
              <w:pStyle w:val="Maintext"/>
            </w:pPr>
          </w:p>
        </w:tc>
      </w:tr>
      <w:tr w:rsidR="00924CBC" w14:paraId="2C419CD9" w14:textId="77777777" w:rsidTr="00924CBC">
        <w:tc>
          <w:tcPr>
            <w:tcW w:w="2547" w:type="dxa"/>
            <w:tcBorders>
              <w:top w:val="single" w:sz="4" w:space="0" w:color="FFFFFF" w:themeColor="background1"/>
              <w:left w:val="single" w:sz="4" w:space="0" w:color="FFFFFF" w:themeColor="background1"/>
              <w:bottom w:val="single" w:sz="4" w:space="0" w:color="FFFFFF" w:themeColor="background1"/>
            </w:tcBorders>
            <w:vAlign w:val="center"/>
          </w:tcPr>
          <w:p w14:paraId="5656EF2E" w14:textId="77777777" w:rsidR="00924CBC" w:rsidRPr="00924CBC" w:rsidRDefault="00924CBC" w:rsidP="00924CBC">
            <w:pPr>
              <w:pStyle w:val="TableHeading"/>
            </w:pPr>
            <w:r w:rsidRPr="00924CBC">
              <w:t>Contract Ref:</w:t>
            </w:r>
          </w:p>
        </w:tc>
        <w:tc>
          <w:tcPr>
            <w:tcW w:w="7189" w:type="dxa"/>
            <w:vAlign w:val="center"/>
          </w:tcPr>
          <w:p w14:paraId="6022A5DB" w14:textId="77777777" w:rsidR="00924CBC" w:rsidRPr="00924CBC" w:rsidRDefault="00924CBC" w:rsidP="00924CBC">
            <w:pPr>
              <w:pStyle w:val="Maintext"/>
            </w:pPr>
          </w:p>
        </w:tc>
      </w:tr>
      <w:tr w:rsidR="00D829C1" w14:paraId="650581A1" w14:textId="77777777" w:rsidTr="00924CBC">
        <w:tc>
          <w:tcPr>
            <w:tcW w:w="2547" w:type="dxa"/>
            <w:tcBorders>
              <w:top w:val="single" w:sz="4" w:space="0" w:color="FFFFFF" w:themeColor="background1"/>
              <w:left w:val="single" w:sz="4" w:space="0" w:color="FFFFFF" w:themeColor="background1"/>
              <w:bottom w:val="single" w:sz="4" w:space="0" w:color="FFFFFF" w:themeColor="background1"/>
            </w:tcBorders>
            <w:vAlign w:val="center"/>
          </w:tcPr>
          <w:p w14:paraId="7C26B383" w14:textId="1D6D4342" w:rsidR="00D829C1" w:rsidRPr="00924CBC" w:rsidRDefault="00D829C1" w:rsidP="00924CBC">
            <w:pPr>
              <w:pStyle w:val="TableHeading"/>
            </w:pPr>
            <w:r>
              <w:t xml:space="preserve">Warranty Start Date: </w:t>
            </w:r>
          </w:p>
        </w:tc>
        <w:tc>
          <w:tcPr>
            <w:tcW w:w="7189" w:type="dxa"/>
            <w:vAlign w:val="center"/>
          </w:tcPr>
          <w:p w14:paraId="73C19888" w14:textId="718908E8" w:rsidR="001D6248" w:rsidRPr="00924CBC" w:rsidRDefault="001D6248" w:rsidP="00924CBC">
            <w:pPr>
              <w:pStyle w:val="Maintext"/>
            </w:pPr>
          </w:p>
        </w:tc>
      </w:tr>
    </w:tbl>
    <w:p w14:paraId="4990224E" w14:textId="0D712126" w:rsidR="00924CBC" w:rsidRDefault="00D829C1" w:rsidP="00924CBC">
      <w:pPr>
        <w:pStyle w:val="Maintext"/>
      </w:pPr>
      <w:r>
        <w:br/>
      </w:r>
      <w:r w:rsidR="0024548A">
        <w:br/>
      </w:r>
      <w:r w:rsidR="00924CBC">
        <w:t xml:space="preserve">For and on behalf of </w:t>
      </w:r>
      <w:r w:rsidR="002C08A7">
        <w:t xml:space="preserve">Exeter Trade </w:t>
      </w:r>
      <w:proofErr w:type="gramStart"/>
      <w:r w:rsidR="002C08A7">
        <w:t>Aluminium</w:t>
      </w:r>
      <w:r>
        <w:t>,</w:t>
      </w:r>
      <w:r w:rsidR="00924CBC">
        <w:t xml:space="preserve">   </w:t>
      </w:r>
      <w:proofErr w:type="gramEnd"/>
      <w:r w:rsidR="00924CBC">
        <w:t xml:space="preserve">           </w:t>
      </w:r>
      <w:r w:rsidR="0024548A">
        <w:br/>
      </w:r>
    </w:p>
    <w:p w14:paraId="3980DAE2" w14:textId="77777777" w:rsidR="00924CBC" w:rsidRDefault="00924CBC" w:rsidP="00924CBC">
      <w:pPr>
        <w:pStyle w:val="Maintext"/>
      </w:pPr>
      <w:r>
        <w:t xml:space="preserve"> </w:t>
      </w:r>
      <w:r w:rsidR="002C08A7">
        <w:rPr>
          <w:noProof/>
        </w:rPr>
        <w:drawing>
          <wp:inline distT="0" distB="0" distL="0" distR="0" wp14:anchorId="44F86B31" wp14:editId="093512AB">
            <wp:extent cx="2771775"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png"/>
                    <pic:cNvPicPr/>
                  </pic:nvPicPr>
                  <pic:blipFill rotWithShape="1">
                    <a:blip r:embed="rId9">
                      <a:extLst>
                        <a:ext uri="{28A0092B-C50C-407E-A947-70E740481C1C}">
                          <a14:useLocalDpi xmlns:a14="http://schemas.microsoft.com/office/drawing/2010/main" val="0"/>
                        </a:ext>
                      </a:extLst>
                    </a:blip>
                    <a:srcRect l="21000" t="26667" r="20800" b="36000"/>
                    <a:stretch/>
                  </pic:blipFill>
                  <pic:spPr bwMode="auto">
                    <a:xfrm>
                      <a:off x="0" y="0"/>
                      <a:ext cx="2771775" cy="533400"/>
                    </a:xfrm>
                    <a:prstGeom prst="rect">
                      <a:avLst/>
                    </a:prstGeom>
                    <a:ln>
                      <a:noFill/>
                    </a:ln>
                    <a:extLst>
                      <a:ext uri="{53640926-AAD7-44D8-BBD7-CCE9431645EC}">
                        <a14:shadowObscured xmlns:a14="http://schemas.microsoft.com/office/drawing/2010/main"/>
                      </a:ext>
                    </a:extLst>
                  </pic:spPr>
                </pic:pic>
              </a:graphicData>
            </a:graphic>
          </wp:inline>
        </w:drawing>
      </w:r>
    </w:p>
    <w:p w14:paraId="1F59F40F" w14:textId="4811595D" w:rsidR="002C08A7" w:rsidRDefault="0024548A" w:rsidP="00DC10C2">
      <w:pPr>
        <w:pStyle w:val="Maintext"/>
      </w:pPr>
      <w:r>
        <w:rPr>
          <w:b/>
          <w:bCs/>
        </w:rPr>
        <w:lastRenderedPageBreak/>
        <w:br/>
      </w:r>
      <w:r w:rsidR="002C08A7" w:rsidRPr="002C08A7">
        <w:rPr>
          <w:b/>
          <w:bCs/>
        </w:rPr>
        <w:t>Nick Sandbrook</w:t>
      </w:r>
      <w:r w:rsidR="002C08A7">
        <w:br/>
        <w:t>General Manager</w:t>
      </w:r>
      <w:r w:rsidR="002C08A7">
        <w:br w:type="page"/>
      </w:r>
    </w:p>
    <w:p w14:paraId="58F4A2C3" w14:textId="77777777" w:rsidR="00924CBC" w:rsidRDefault="00924CBC" w:rsidP="002C08A7">
      <w:pPr>
        <w:pStyle w:val="H1"/>
      </w:pPr>
      <w:r>
        <w:lastRenderedPageBreak/>
        <w:t xml:space="preserve">TERMS AND CONDITIONS OF </w:t>
      </w:r>
      <w:r w:rsidR="002C08A7">
        <w:br/>
      </w:r>
      <w:r>
        <w:t>PRODUCT WARRANTY</w:t>
      </w:r>
    </w:p>
    <w:p w14:paraId="3C14FF56" w14:textId="77777777" w:rsidR="00924CBC" w:rsidRDefault="00924CBC" w:rsidP="002C08A7">
      <w:pPr>
        <w:pStyle w:val="Maintext"/>
      </w:pPr>
      <w:r>
        <w:t xml:space="preserve">The following ‘terms’ included in these terms and conditions of product warranty are defined as follows, unless the context requires otherwise; </w:t>
      </w:r>
    </w:p>
    <w:p w14:paraId="0C9460AF" w14:textId="77777777" w:rsidR="00924CBC" w:rsidRDefault="00924CBC" w:rsidP="002C08A7">
      <w:pPr>
        <w:pStyle w:val="Maintext"/>
        <w:numPr>
          <w:ilvl w:val="0"/>
          <w:numId w:val="3"/>
        </w:numPr>
      </w:pPr>
      <w:r>
        <w:t xml:space="preserve">‘Company’ means </w:t>
      </w:r>
      <w:r w:rsidR="002C08A7">
        <w:t>Exeter Trade Aluminium</w:t>
      </w:r>
      <w:r>
        <w:t xml:space="preserve"> Limited</w:t>
      </w:r>
    </w:p>
    <w:p w14:paraId="334DD644" w14:textId="77777777" w:rsidR="00924CBC" w:rsidRDefault="00924CBC" w:rsidP="002C08A7">
      <w:pPr>
        <w:pStyle w:val="Maintext"/>
        <w:numPr>
          <w:ilvl w:val="0"/>
          <w:numId w:val="3"/>
        </w:numPr>
      </w:pPr>
      <w:r>
        <w:t xml:space="preserve">‘Products’ means the goods sold to the person registered within the signed </w:t>
      </w:r>
      <w:r w:rsidR="002C08A7">
        <w:t>manufacturing sign off</w:t>
      </w:r>
      <w:r>
        <w:t>.</w:t>
      </w:r>
    </w:p>
    <w:p w14:paraId="4C21CD7D" w14:textId="77777777" w:rsidR="00924CBC" w:rsidRDefault="00924CBC" w:rsidP="002C08A7">
      <w:pPr>
        <w:pStyle w:val="Maintext"/>
        <w:numPr>
          <w:ilvl w:val="0"/>
          <w:numId w:val="3"/>
        </w:numPr>
      </w:pPr>
      <w:r>
        <w:t>‘Purchaser’ means the person named overleaf only.</w:t>
      </w:r>
    </w:p>
    <w:p w14:paraId="47D505A2" w14:textId="324329F8" w:rsidR="00924CBC" w:rsidRDefault="00924CBC" w:rsidP="002C08A7">
      <w:pPr>
        <w:pStyle w:val="Maintext"/>
      </w:pPr>
      <w:r>
        <w:t xml:space="preserve">The product warranty will be subject to the conditions stated herein unless agreement to the contrary is acknowledged in writing, with the express approval of the Company. </w:t>
      </w:r>
      <w:r w:rsidR="003C522F">
        <w:t>T</w:t>
      </w:r>
      <w:r>
        <w:t>he product warranty</w:t>
      </w:r>
      <w:r w:rsidR="003C522F" w:rsidRPr="003C522F">
        <w:t xml:space="preserve"> </w:t>
      </w:r>
      <w:r w:rsidR="003C522F">
        <w:t>will commencement from the date of delivery</w:t>
      </w:r>
      <w:r w:rsidR="00967D49">
        <w:t xml:space="preserve"> (see page 3)</w:t>
      </w:r>
      <w:r>
        <w:t>. All payments shall be made without deduction in order for this product warranty to be effective.</w:t>
      </w:r>
    </w:p>
    <w:p w14:paraId="260254E3" w14:textId="100A5319" w:rsidR="00967D49" w:rsidRDefault="003C522F" w:rsidP="00967D49">
      <w:pPr>
        <w:pStyle w:val="Maintext"/>
      </w:pPr>
      <w:r>
        <w:t xml:space="preserve">In the event of any product faults discovered within the warranty period, please report to Exeter Trade Aluminium via email: </w:t>
      </w:r>
      <w:hyperlink r:id="rId10" w:history="1">
        <w:r w:rsidRPr="00AF6887">
          <w:rPr>
            <w:rStyle w:val="LinksChar"/>
          </w:rPr>
          <w:t>sales@exetertradealuminium.co.uk</w:t>
        </w:r>
      </w:hyperlink>
      <w:r>
        <w:t xml:space="preserve"> with a photograph and description of the fault.</w:t>
      </w:r>
      <w:r w:rsidR="00967D49" w:rsidRPr="00967D49">
        <w:t xml:space="preserve"> </w:t>
      </w:r>
    </w:p>
    <w:p w14:paraId="5FC06BB2" w14:textId="54E0B074" w:rsidR="00DC0A23" w:rsidRDefault="003C522F" w:rsidP="003C522F">
      <w:pPr>
        <w:pStyle w:val="Maintext"/>
      </w:pPr>
      <w:r>
        <w:t xml:space="preserve">We will then review and </w:t>
      </w:r>
      <w:r w:rsidRPr="003C522F">
        <w:t xml:space="preserve">if the product </w:t>
      </w:r>
      <w:r>
        <w:t xml:space="preserve">has </w:t>
      </w:r>
      <w:r w:rsidRPr="003C522F">
        <w:t>develop</w:t>
      </w:r>
      <w:r>
        <w:t>ed</w:t>
      </w:r>
      <w:r w:rsidRPr="003C522F">
        <w:t xml:space="preserve"> a fault in accordance to the warranty details and within the time period stated</w:t>
      </w:r>
      <w:r>
        <w:t xml:space="preserve">, the Company will send or deliver replacement parts only. </w:t>
      </w:r>
      <w:r w:rsidR="0049394C">
        <w:br/>
      </w:r>
      <w:r w:rsidR="00DC0A23">
        <w:t xml:space="preserve">On Condition: </w:t>
      </w:r>
    </w:p>
    <w:p w14:paraId="73F07B87" w14:textId="7A533278" w:rsidR="00DC0A23" w:rsidRDefault="00DC0A23" w:rsidP="00DC0A23">
      <w:pPr>
        <w:pStyle w:val="Maintext"/>
        <w:numPr>
          <w:ilvl w:val="0"/>
          <w:numId w:val="3"/>
        </w:numPr>
      </w:pPr>
      <w:r>
        <w:t>That notice in writing of any claim under this warranty shall be given by the Purchaser to the Company within one month of the alleged defect arising.</w:t>
      </w:r>
      <w:r w:rsidR="005D7A6A">
        <w:t xml:space="preserve"> Third parties or end users will need to raise any faults to the Company via the Purchaser named on page 3.  </w:t>
      </w:r>
    </w:p>
    <w:p w14:paraId="6BBFF183" w14:textId="77777777" w:rsidR="00DC0A23" w:rsidRDefault="00DC0A23" w:rsidP="00DC0A23">
      <w:pPr>
        <w:pStyle w:val="Maintext"/>
        <w:numPr>
          <w:ilvl w:val="0"/>
          <w:numId w:val="3"/>
        </w:numPr>
      </w:pPr>
      <w:r>
        <w:t>That the Purchaser or a third party has not damaged the product as a result of an accident or negligence.</w:t>
      </w:r>
    </w:p>
    <w:p w14:paraId="3DA11804" w14:textId="77777777" w:rsidR="00DC0A23" w:rsidRDefault="00DC0A23" w:rsidP="00DC0A23">
      <w:pPr>
        <w:pStyle w:val="Maintext"/>
        <w:numPr>
          <w:ilvl w:val="0"/>
          <w:numId w:val="3"/>
        </w:numPr>
      </w:pPr>
      <w:r>
        <w:t>That the product has not been changed by the Purchaser, or a third party in any way whatsoever.</w:t>
      </w:r>
    </w:p>
    <w:p w14:paraId="68231ACE" w14:textId="77777777" w:rsidR="00DC0A23" w:rsidRDefault="00DC0A23" w:rsidP="00DC0A23">
      <w:pPr>
        <w:pStyle w:val="Maintext"/>
        <w:numPr>
          <w:ilvl w:val="0"/>
          <w:numId w:val="3"/>
        </w:numPr>
      </w:pPr>
      <w:r>
        <w:t>That the Purchaser/third party maintains the product in accordance with the care and maintenance instructions, highlighted at the end of this document.</w:t>
      </w:r>
    </w:p>
    <w:p w14:paraId="25C84A5F" w14:textId="77777777" w:rsidR="00DC0A23" w:rsidRDefault="00DC0A23" w:rsidP="00DC0A23">
      <w:pPr>
        <w:pStyle w:val="Maintext"/>
        <w:numPr>
          <w:ilvl w:val="0"/>
          <w:numId w:val="3"/>
        </w:numPr>
      </w:pPr>
      <w:r>
        <w:t>That the Company shall be permitted to manufacture/supply any replacement in the most economical manner, and within a reasonable time consistent with the Company’s normal delivery period. Such replacement being manufactured in accordance with the manufacturing procedures of the Company current at the time of replacement. Which may incorporate modifications arising out of changed or improved technical developments.</w:t>
      </w:r>
    </w:p>
    <w:p w14:paraId="0FD9E9D1" w14:textId="77777777" w:rsidR="00DC0A23" w:rsidRPr="00D829C1" w:rsidRDefault="00DC0A23" w:rsidP="00DC0A23">
      <w:pPr>
        <w:pStyle w:val="Maintext"/>
        <w:numPr>
          <w:ilvl w:val="0"/>
          <w:numId w:val="3"/>
        </w:numPr>
      </w:pPr>
      <w:r w:rsidRPr="00D829C1">
        <w:lastRenderedPageBreak/>
        <w:t>In the event of replacement, the period of guarantee shall extend up to the time of the period of the original guarantee, or up to twelve months from the date of replacement, whichever is later.</w:t>
      </w:r>
    </w:p>
    <w:p w14:paraId="35EBBF75" w14:textId="77777777" w:rsidR="00DC0A23" w:rsidRDefault="00DC0A23" w:rsidP="00DC0A23">
      <w:pPr>
        <w:pStyle w:val="Maintext"/>
        <w:numPr>
          <w:ilvl w:val="0"/>
          <w:numId w:val="3"/>
        </w:numPr>
      </w:pPr>
      <w:r>
        <w:t xml:space="preserve">That the Company will not be liable for any claims arising from cosmetic blemishes, optical phenomena such as ‘Brewsters Fringes’ or other imperfections of a like kind due to the glass manufacturing process. Paint finishes can vary slightly between different products especially metallic &amp; pearlescent finishes. Anodised frames are subject to minor scratches &amp; imperfections and must be deemed acceptable. </w:t>
      </w:r>
    </w:p>
    <w:p w14:paraId="301CBEC0" w14:textId="77777777" w:rsidR="00C83BA1" w:rsidRDefault="00DC0A23" w:rsidP="00C83BA1">
      <w:pPr>
        <w:pStyle w:val="Maintext"/>
        <w:numPr>
          <w:ilvl w:val="0"/>
          <w:numId w:val="3"/>
        </w:numPr>
      </w:pPr>
      <w:r>
        <w:t>That the Company does not guarantee that condensation, if any, will be reduced or eliminated following installation of its products and further the Company does not accept liability for any condensation appearing after installation where none was present before.</w:t>
      </w:r>
      <w:r w:rsidR="00C83BA1" w:rsidRPr="00C83BA1">
        <w:t xml:space="preserve"> </w:t>
      </w:r>
    </w:p>
    <w:p w14:paraId="59CE9E05" w14:textId="77777777" w:rsidR="00DC0A23" w:rsidRDefault="00C83BA1" w:rsidP="00C83BA1">
      <w:pPr>
        <w:pStyle w:val="Maintext"/>
        <w:numPr>
          <w:ilvl w:val="0"/>
          <w:numId w:val="3"/>
        </w:numPr>
      </w:pPr>
      <w:r>
        <w:t xml:space="preserve">The Company is not liable for glass breakages for any reason, including the rare risk of </w:t>
      </w:r>
      <w:r w:rsidR="00E94915">
        <w:t xml:space="preserve">spontaneous </w:t>
      </w:r>
      <w:r>
        <w:t>breakage due to N</w:t>
      </w:r>
      <w:r w:rsidRPr="00C83BA1">
        <w:t xml:space="preserve">ickel </w:t>
      </w:r>
      <w:r>
        <w:t>S</w:t>
      </w:r>
      <w:r w:rsidRPr="00C83BA1">
        <w:t xml:space="preserve">ulphide </w:t>
      </w:r>
      <w:r>
        <w:t>I</w:t>
      </w:r>
      <w:r w:rsidRPr="00C83BA1">
        <w:t>nclusion</w:t>
      </w:r>
      <w:r>
        <w:t xml:space="preserve"> (</w:t>
      </w:r>
      <w:proofErr w:type="spellStart"/>
      <w:r>
        <w:t>NiS</w:t>
      </w:r>
      <w:proofErr w:type="spellEnd"/>
      <w:r>
        <w:t>).</w:t>
      </w:r>
      <w:r w:rsidRPr="00C83BA1">
        <w:t xml:space="preserve"> </w:t>
      </w:r>
      <w:proofErr w:type="spellStart"/>
      <w:r>
        <w:t>NiS</w:t>
      </w:r>
      <w:proofErr w:type="spellEnd"/>
      <w:r>
        <w:t xml:space="preserve"> occurs during the process of manufacturing toughened glass. As a</w:t>
      </w:r>
      <w:r w:rsidR="00E94915">
        <w:t xml:space="preserve"> </w:t>
      </w:r>
      <w:r>
        <w:t>result of nickel contaminants present in the glass melt, reacting with sulphur.</w:t>
      </w:r>
      <w:r w:rsidR="00E94915">
        <w:t xml:space="preserve"> </w:t>
      </w:r>
      <w:r>
        <w:t xml:space="preserve">Due to the impossibility of finding such very small inclusions, toughened glass manufacturers can't guarantee the complete absence of </w:t>
      </w:r>
      <w:proofErr w:type="spellStart"/>
      <w:r>
        <w:t>NiS</w:t>
      </w:r>
      <w:proofErr w:type="spellEnd"/>
      <w:r>
        <w:t xml:space="preserve"> inclusions in the glass. As a result, they cannot provide a warranty against the possibility of </w:t>
      </w:r>
      <w:proofErr w:type="spellStart"/>
      <w:r>
        <w:t>NiS</w:t>
      </w:r>
      <w:proofErr w:type="spellEnd"/>
      <w:r>
        <w:t xml:space="preserve"> being present.</w:t>
      </w:r>
    </w:p>
    <w:p w14:paraId="66911096" w14:textId="77777777" w:rsidR="00DC0A23" w:rsidRDefault="00DC0A23" w:rsidP="00DC0A23">
      <w:pPr>
        <w:pStyle w:val="Maintext"/>
        <w:numPr>
          <w:ilvl w:val="0"/>
          <w:numId w:val="3"/>
        </w:numPr>
      </w:pPr>
      <w:r>
        <w:t>The Company will not be liable to meet claims for consequential loss or damage howsoever arising except so far as the restoration of such damage or loss falls within the rights of the Purchaser under common law or statue.</w:t>
      </w:r>
    </w:p>
    <w:p w14:paraId="66364479" w14:textId="77777777" w:rsidR="003C522F" w:rsidRDefault="00DC0A23" w:rsidP="003C522F">
      <w:pPr>
        <w:pStyle w:val="Maintext"/>
      </w:pPr>
      <w:r>
        <w:t xml:space="preserve">The Company </w:t>
      </w:r>
      <w:r w:rsidR="003C522F">
        <w:t xml:space="preserve">will not undertake any site visits or provide any installation labour or incur costings for labour to rectify the fault - that will be the responsibility of the </w:t>
      </w:r>
      <w:r>
        <w:t>P</w:t>
      </w:r>
      <w:r w:rsidR="003C522F">
        <w:t>urchaser.</w:t>
      </w:r>
    </w:p>
    <w:p w14:paraId="4AEDCB12" w14:textId="77777777" w:rsidR="00C83BA1" w:rsidRDefault="00E94915" w:rsidP="00C83BA1">
      <w:pPr>
        <w:pStyle w:val="Maintext"/>
      </w:pPr>
      <w:r>
        <w:t>The Company</w:t>
      </w:r>
      <w:r w:rsidR="00C83BA1">
        <w:t xml:space="preserve"> shall not be liable for the </w:t>
      </w:r>
      <w:r>
        <w:t>products</w:t>
      </w:r>
      <w:r w:rsidR="00C83BA1">
        <w:t xml:space="preserve"> failure to comply with the warranty if any of the following events</w:t>
      </w:r>
      <w:r>
        <w:t xml:space="preserve"> occur</w:t>
      </w:r>
      <w:r w:rsidR="00C83BA1">
        <w:t>:</w:t>
      </w:r>
    </w:p>
    <w:p w14:paraId="1F9447B5" w14:textId="77777777" w:rsidR="00C83BA1" w:rsidRDefault="00C83BA1" w:rsidP="00E94915">
      <w:pPr>
        <w:pStyle w:val="Maintext"/>
        <w:numPr>
          <w:ilvl w:val="0"/>
          <w:numId w:val="5"/>
        </w:numPr>
      </w:pPr>
      <w:r>
        <w:t xml:space="preserve">If the defect arises because </w:t>
      </w:r>
      <w:r w:rsidR="00E94915">
        <w:t>the Purchaser</w:t>
      </w:r>
      <w:r>
        <w:t xml:space="preserve"> failed to follow </w:t>
      </w:r>
      <w:r w:rsidR="00E94915">
        <w:t>the Companies</w:t>
      </w:r>
      <w:r>
        <w:t xml:space="preserve"> oral or written instructions as to the storage, installation, use and maintenance of the </w:t>
      </w:r>
      <w:r w:rsidR="00E94915">
        <w:t>products</w:t>
      </w:r>
      <w:r>
        <w:t>.</w:t>
      </w:r>
    </w:p>
    <w:p w14:paraId="168FC040" w14:textId="77777777" w:rsidR="00C83BA1" w:rsidRDefault="00C83BA1" w:rsidP="00E94915">
      <w:pPr>
        <w:pStyle w:val="Maintext"/>
        <w:numPr>
          <w:ilvl w:val="0"/>
          <w:numId w:val="5"/>
        </w:numPr>
      </w:pPr>
      <w:r>
        <w:t xml:space="preserve">If you alter or repair the </w:t>
      </w:r>
      <w:r w:rsidR="00E94915">
        <w:t>products</w:t>
      </w:r>
      <w:r>
        <w:t xml:space="preserve"> without the written consent of </w:t>
      </w:r>
      <w:r w:rsidR="00E94915">
        <w:t>the Company</w:t>
      </w:r>
      <w:r>
        <w:t xml:space="preserve"> or you use the </w:t>
      </w:r>
      <w:r w:rsidR="00E94915">
        <w:t>products for</w:t>
      </w:r>
      <w:r>
        <w:t xml:space="preserve"> any purpose other than as intended.</w:t>
      </w:r>
    </w:p>
    <w:p w14:paraId="23CF1465" w14:textId="77777777" w:rsidR="00C83BA1" w:rsidRDefault="00C83BA1" w:rsidP="00E94915">
      <w:pPr>
        <w:pStyle w:val="Maintext"/>
        <w:numPr>
          <w:ilvl w:val="0"/>
          <w:numId w:val="5"/>
        </w:numPr>
      </w:pPr>
      <w:r>
        <w:t>If the defect arises as a result of wilful, malicious or accidental damage, improper use, negligence, or abnormal storage or working conditions.</w:t>
      </w:r>
    </w:p>
    <w:p w14:paraId="5A4E228F" w14:textId="77777777" w:rsidR="00C83BA1" w:rsidRDefault="00C83BA1" w:rsidP="00E94915">
      <w:pPr>
        <w:pStyle w:val="Maintext"/>
        <w:numPr>
          <w:ilvl w:val="0"/>
          <w:numId w:val="5"/>
        </w:numPr>
      </w:pPr>
      <w:r>
        <w:t>If the defect arises as a result of damage caused by fire or explosion.</w:t>
      </w:r>
    </w:p>
    <w:p w14:paraId="0290A6D0" w14:textId="77777777" w:rsidR="00E94915" w:rsidRDefault="00E94915" w:rsidP="00E94915">
      <w:pPr>
        <w:pStyle w:val="Maintext"/>
        <w:numPr>
          <w:ilvl w:val="0"/>
          <w:numId w:val="5"/>
        </w:numPr>
      </w:pPr>
      <w:r>
        <w:t>If a defect arises because of floods, lightening, or extreme weather conditions, or any other external influences.</w:t>
      </w:r>
    </w:p>
    <w:p w14:paraId="025C2B65" w14:textId="77777777" w:rsidR="00C83BA1" w:rsidRDefault="00C83BA1" w:rsidP="00E94915">
      <w:pPr>
        <w:pStyle w:val="Maintext"/>
        <w:numPr>
          <w:ilvl w:val="0"/>
          <w:numId w:val="5"/>
        </w:numPr>
      </w:pPr>
      <w:r>
        <w:t xml:space="preserve">If the total price of the </w:t>
      </w:r>
      <w:r w:rsidR="00E94915">
        <w:t>products</w:t>
      </w:r>
      <w:r>
        <w:t xml:space="preserve"> </w:t>
      </w:r>
      <w:proofErr w:type="gramStart"/>
      <w:r>
        <w:t>ha</w:t>
      </w:r>
      <w:r w:rsidR="00E94915">
        <w:t>ve</w:t>
      </w:r>
      <w:proofErr w:type="gramEnd"/>
      <w:r>
        <w:t xml:space="preserve"> not been paid by the due date for payment.</w:t>
      </w:r>
    </w:p>
    <w:p w14:paraId="24F96D27" w14:textId="2C825915" w:rsidR="00C83BA1" w:rsidRDefault="00C83BA1" w:rsidP="00E94915">
      <w:pPr>
        <w:pStyle w:val="Maintext"/>
        <w:numPr>
          <w:ilvl w:val="0"/>
          <w:numId w:val="5"/>
        </w:numPr>
      </w:pPr>
      <w:r>
        <w:lastRenderedPageBreak/>
        <w:t xml:space="preserve">If the </w:t>
      </w:r>
      <w:r w:rsidR="00E94915">
        <w:t>products</w:t>
      </w:r>
      <w:r>
        <w:t xml:space="preserve"> have not been fitted or installed correctly</w:t>
      </w:r>
      <w:r w:rsidR="00D829C1">
        <w:t>.</w:t>
      </w:r>
    </w:p>
    <w:p w14:paraId="0FDD4922" w14:textId="77777777" w:rsidR="00C83BA1" w:rsidRDefault="00C83BA1" w:rsidP="00E94915">
      <w:pPr>
        <w:pStyle w:val="Maintext"/>
        <w:numPr>
          <w:ilvl w:val="0"/>
          <w:numId w:val="5"/>
        </w:numPr>
      </w:pPr>
      <w:r>
        <w:t xml:space="preserve">If </w:t>
      </w:r>
      <w:r w:rsidR="00E94915">
        <w:t>the Company</w:t>
      </w:r>
      <w:r>
        <w:t xml:space="preserve"> was not notified as the time of purchase that the </w:t>
      </w:r>
      <w:r w:rsidR="00E94915">
        <w:t>products</w:t>
      </w:r>
      <w:r>
        <w:t xml:space="preserve"> were going to be fitted in a property which is in close proximity to the sea</w:t>
      </w:r>
      <w:r w:rsidR="00F94739">
        <w:t xml:space="preserve"> (within 3.2 miles)</w:t>
      </w:r>
      <w:r>
        <w:t>.</w:t>
      </w:r>
    </w:p>
    <w:p w14:paraId="6D9E50E9" w14:textId="33DB0D0D" w:rsidR="00D829C1" w:rsidRDefault="00D829C1" w:rsidP="00D829C1">
      <w:pPr>
        <w:pStyle w:val="Maintext"/>
      </w:pPr>
      <w:r>
        <w:t>Important: This warranty does not affect any statutory or legal rights as a consumer - it is additional to those.</w:t>
      </w:r>
    </w:p>
    <w:p w14:paraId="75908064" w14:textId="040ABD51" w:rsidR="005D7A6A" w:rsidRDefault="005D7A6A" w:rsidP="00D829C1">
      <w:pPr>
        <w:pStyle w:val="Maintext"/>
      </w:pPr>
      <w:r>
        <w:t xml:space="preserve">This warranty is transferable to a third party / the homeowner / subsequent owners of the property to which the Products were originally installed. To transfer the warranty an admin fee will apply. </w:t>
      </w:r>
    </w:p>
    <w:p w14:paraId="5FADA395" w14:textId="48B71BF4" w:rsidR="00F94739" w:rsidRDefault="00F94739" w:rsidP="00F94739">
      <w:pPr>
        <w:pStyle w:val="Maintext"/>
      </w:pPr>
      <w:r>
        <w:t xml:space="preserve">To report a warranty claim, </w:t>
      </w:r>
      <w:r w:rsidR="005D7A6A">
        <w:t xml:space="preserve">or to transfer the </w:t>
      </w:r>
      <w:r w:rsidR="002A2520">
        <w:t xml:space="preserve">Purchaser named on the </w:t>
      </w:r>
      <w:r w:rsidR="005D7A6A">
        <w:t xml:space="preserve">warranty </w:t>
      </w:r>
      <w:r>
        <w:t xml:space="preserve">please contact Exeter Trade Aluminium in writing, by emailing: </w:t>
      </w:r>
      <w:hyperlink r:id="rId11" w:history="1">
        <w:r w:rsidR="00DD19B7" w:rsidRPr="00DD19B7">
          <w:rPr>
            <w:rStyle w:val="LinksChar"/>
          </w:rPr>
          <w:t>sales@exetertradealuminium.co.uk</w:t>
        </w:r>
      </w:hyperlink>
      <w:r w:rsidR="00DD19B7">
        <w:t xml:space="preserve"> </w:t>
      </w:r>
      <w:r>
        <w:t xml:space="preserve">quoting </w:t>
      </w:r>
      <w:r w:rsidR="005D7A6A">
        <w:t>the</w:t>
      </w:r>
      <w:r>
        <w:t xml:space="preserve"> contract reference number.</w:t>
      </w:r>
    </w:p>
    <w:p w14:paraId="236974B4" w14:textId="77777777" w:rsidR="00DC0A23" w:rsidRDefault="00DC0A23" w:rsidP="002C08A7">
      <w:pPr>
        <w:pStyle w:val="Maintext"/>
      </w:pPr>
    </w:p>
    <w:p w14:paraId="1FAEF49C" w14:textId="77777777" w:rsidR="00DC0A23" w:rsidRDefault="00DC0A23">
      <w:pPr>
        <w:rPr>
          <w:rFonts w:ascii="Aller Light" w:hAnsi="Aller Light"/>
          <w:sz w:val="22"/>
          <w:szCs w:val="22"/>
        </w:rPr>
      </w:pPr>
      <w:r>
        <w:br w:type="page"/>
      </w:r>
    </w:p>
    <w:p w14:paraId="15EAC8A2" w14:textId="77777777" w:rsidR="00924CBC" w:rsidRDefault="00924CBC" w:rsidP="00F94739">
      <w:pPr>
        <w:pStyle w:val="H1"/>
      </w:pPr>
      <w:r>
        <w:lastRenderedPageBreak/>
        <w:t xml:space="preserve">Care and Maintenance </w:t>
      </w:r>
    </w:p>
    <w:p w14:paraId="6B1FBF06" w14:textId="77777777" w:rsidR="00F94739" w:rsidRDefault="00F94739" w:rsidP="002C08A7">
      <w:pPr>
        <w:pStyle w:val="Maintext"/>
      </w:pPr>
      <w:r>
        <w:t>External components can be affected by the weather, the external environment and industrial pollution. In order to maintain the glazing to an optimum level of performance</w:t>
      </w:r>
      <w:r w:rsidR="00EC4E0A">
        <w:t xml:space="preserve">, to meet the warranty conditions and to ensure the product looks good and performs well for many years to come the following care and maintenance instructions should be followed. </w:t>
      </w:r>
    </w:p>
    <w:p w14:paraId="3BF030A8" w14:textId="77777777" w:rsidR="00EC4E0A" w:rsidRDefault="00EC4E0A" w:rsidP="00EC4E0A">
      <w:pPr>
        <w:pStyle w:val="TableHeading"/>
      </w:pPr>
      <w:r>
        <w:t>Frames</w:t>
      </w:r>
    </w:p>
    <w:p w14:paraId="08877108" w14:textId="77777777" w:rsidR="00EC4E0A" w:rsidRDefault="00EC4E0A" w:rsidP="00EC4E0A">
      <w:pPr>
        <w:pStyle w:val="Maintext"/>
      </w:pPr>
      <w:r>
        <w:t xml:space="preserve">All frames should be washed down with warm water, containing a mild detergent and a non-abrasive cloth. Stubborn stains maybe removed with a reputable non-abrasive cream cleaner. </w:t>
      </w:r>
    </w:p>
    <w:p w14:paraId="4F07E4C5" w14:textId="77777777" w:rsidR="00EC4E0A" w:rsidRDefault="00EC4E0A" w:rsidP="00EC4E0A">
      <w:pPr>
        <w:pStyle w:val="Maintext"/>
      </w:pPr>
      <w:r>
        <w:t>The frames have water drainage systems designed into them, in the form of drainage holes. For the drainage to work correctly the drain holes must be checked to see that they are free from obstruction. If blocked, remove obstruction and wash thoroughly with water to ensure correct drainage.</w:t>
      </w:r>
    </w:p>
    <w:p w14:paraId="7CE0417D" w14:textId="77777777" w:rsidR="00EC4E0A" w:rsidRDefault="00924CBC" w:rsidP="00EC4E0A">
      <w:pPr>
        <w:pStyle w:val="TableHeading"/>
      </w:pPr>
      <w:r>
        <w:t xml:space="preserve">Window Friction Hinges </w:t>
      </w:r>
    </w:p>
    <w:p w14:paraId="423D5624" w14:textId="77777777" w:rsidR="00924CBC" w:rsidRDefault="00924CBC" w:rsidP="002C08A7">
      <w:pPr>
        <w:pStyle w:val="Maintext"/>
      </w:pPr>
      <w:r>
        <w:t>At the time of manufacture all friction hinge pivot points have been lubricated with a light machine oil. In order to maintain optimum performance, the friction hinges will require checking for the tightness and security of all fixing screws and rivets</w:t>
      </w:r>
      <w:r w:rsidR="00DD19B7">
        <w:t>.</w:t>
      </w:r>
      <w:r>
        <w:t xml:space="preserve"> </w:t>
      </w:r>
      <w:r w:rsidR="00DD19B7">
        <w:t>I</w:t>
      </w:r>
      <w:r>
        <w:t xml:space="preserve">n </w:t>
      </w:r>
      <w:proofErr w:type="gramStart"/>
      <w:r>
        <w:t>addition</w:t>
      </w:r>
      <w:proofErr w:type="gramEnd"/>
      <w:r>
        <w:t xml:space="preserve"> further lubrication</w:t>
      </w:r>
      <w:r w:rsidR="00DD19B7">
        <w:t xml:space="preserve"> is required</w:t>
      </w:r>
      <w:r>
        <w:t xml:space="preserve"> on an annual basis</w:t>
      </w:r>
      <w:r w:rsidR="00267EB3">
        <w:t xml:space="preserve"> at a minimum</w:t>
      </w:r>
      <w:r>
        <w:t>. The hinges, pivots, sliding shoe and tracks should also be kept free from dirt, debris and obstruction at all times.</w:t>
      </w:r>
    </w:p>
    <w:p w14:paraId="461E7520" w14:textId="77777777" w:rsidR="00267EB3" w:rsidRDefault="00924CBC" w:rsidP="00267EB3">
      <w:pPr>
        <w:pStyle w:val="TableHeading"/>
      </w:pPr>
      <w:r>
        <w:t>Door Operating and Locking Mechanism</w:t>
      </w:r>
    </w:p>
    <w:p w14:paraId="1980227F" w14:textId="77777777" w:rsidR="00924CBC" w:rsidRDefault="00924CBC" w:rsidP="002C08A7">
      <w:pPr>
        <w:pStyle w:val="Maintext"/>
      </w:pPr>
      <w:r>
        <w:t>To achieve optimum performance and acceptable handle operation, locking mechanism cams can be adjusted by using a flat bladed screwdriver. Also, clean and lightly grease external moving parts and frame keeps at least annually. Do not lubricate the locking cylinder.</w:t>
      </w:r>
    </w:p>
    <w:p w14:paraId="63B81BC1" w14:textId="77777777" w:rsidR="00267EB3" w:rsidRDefault="00924CBC" w:rsidP="00267EB3">
      <w:pPr>
        <w:pStyle w:val="TableHeading"/>
      </w:pPr>
      <w:r>
        <w:t>Door Hinges</w:t>
      </w:r>
    </w:p>
    <w:p w14:paraId="290DAF1B" w14:textId="77777777" w:rsidR="00924CBC" w:rsidRDefault="00924CBC" w:rsidP="002C08A7">
      <w:pPr>
        <w:pStyle w:val="Maintext"/>
      </w:pPr>
      <w:r>
        <w:t>To remove atmospheric grime, clean regularly with soap and water, stubborn stains maybe removed with a reputable non-abrasive cream cleaner. Lightly lubricate hinge pins on an annual basis</w:t>
      </w:r>
      <w:r w:rsidR="00267EB3">
        <w:t xml:space="preserve"> as a minimum</w:t>
      </w:r>
      <w:r>
        <w:t>. If open out hinges are fitted lubricate hinge pins every six months.</w:t>
      </w:r>
    </w:p>
    <w:p w14:paraId="0D03592E" w14:textId="77777777" w:rsidR="00267EB3" w:rsidRDefault="00924CBC" w:rsidP="00267EB3">
      <w:pPr>
        <w:pStyle w:val="TableHeading"/>
      </w:pPr>
      <w:r>
        <w:t>Letter Box</w:t>
      </w:r>
    </w:p>
    <w:p w14:paraId="5481004B" w14:textId="77777777" w:rsidR="00924CBC" w:rsidRDefault="00924CBC" w:rsidP="002C08A7">
      <w:pPr>
        <w:pStyle w:val="Maintext"/>
      </w:pPr>
      <w:r>
        <w:t>Lightly oil springs on inside and outside flaps annually</w:t>
      </w:r>
      <w:r w:rsidR="00267EB3">
        <w:t xml:space="preserve"> as a minimum</w:t>
      </w:r>
      <w:r>
        <w:t>.</w:t>
      </w:r>
    </w:p>
    <w:p w14:paraId="73F51B21" w14:textId="77777777" w:rsidR="00267EB3" w:rsidRDefault="00094C2D" w:rsidP="00267EB3">
      <w:pPr>
        <w:pStyle w:val="TableHeading"/>
      </w:pPr>
      <w:r>
        <w:t>Hardware</w:t>
      </w:r>
      <w:r w:rsidR="00924CBC">
        <w:t xml:space="preserve"> </w:t>
      </w:r>
    </w:p>
    <w:p w14:paraId="1D1EB1AF" w14:textId="77777777" w:rsidR="00094C2D" w:rsidRDefault="00094C2D" w:rsidP="002C08A7">
      <w:pPr>
        <w:pStyle w:val="Maintext"/>
      </w:pPr>
      <w:r>
        <w:t xml:space="preserve">External hardware </w:t>
      </w:r>
      <w:proofErr w:type="gramStart"/>
      <w:r>
        <w:t>ha</w:t>
      </w:r>
      <w:r w:rsidR="00DD19B7">
        <w:t>ve</w:t>
      </w:r>
      <w:proofErr w:type="gramEnd"/>
      <w:r>
        <w:t xml:space="preserve"> coatings. The polished surfaces can be restored by cleaning with a dry soft duster. </w:t>
      </w:r>
    </w:p>
    <w:p w14:paraId="3D93413E" w14:textId="77777777" w:rsidR="00924CBC" w:rsidRDefault="00924CBC" w:rsidP="002C08A7">
      <w:pPr>
        <w:pStyle w:val="Maintext"/>
      </w:pPr>
      <w:r>
        <w:t>Lightly lubricate external-moving parts on an annual basis</w:t>
      </w:r>
      <w:r w:rsidR="00267EB3">
        <w:t xml:space="preserve"> as a minimum</w:t>
      </w:r>
      <w:r>
        <w:t xml:space="preserve">. </w:t>
      </w:r>
    </w:p>
    <w:p w14:paraId="553AC9FA" w14:textId="0D4C6692" w:rsidR="00267EB3" w:rsidRDefault="0024548A" w:rsidP="00267EB3">
      <w:pPr>
        <w:pStyle w:val="TableHeading"/>
      </w:pPr>
      <w:r>
        <w:br/>
      </w:r>
      <w:r>
        <w:br/>
      </w:r>
      <w:r>
        <w:lastRenderedPageBreak/>
        <w:br/>
      </w:r>
      <w:r w:rsidR="00267EB3">
        <w:t xml:space="preserve">Standard </w:t>
      </w:r>
      <w:r w:rsidR="00924CBC">
        <w:t>Glass</w:t>
      </w:r>
    </w:p>
    <w:p w14:paraId="4B636F96" w14:textId="77777777" w:rsidR="00924CBC" w:rsidRDefault="00267EB3" w:rsidP="002C08A7">
      <w:pPr>
        <w:pStyle w:val="Maintext"/>
      </w:pPr>
      <w:r>
        <w:t xml:space="preserve">Heavy external grime should be removed with a simple soap/water solution followed by the use of any </w:t>
      </w:r>
      <w:r w:rsidR="00094C2D">
        <w:t>household glass cleaner with a soft cloth.</w:t>
      </w:r>
    </w:p>
    <w:p w14:paraId="40BC9952" w14:textId="77777777" w:rsidR="00094C2D" w:rsidRDefault="00094C2D" w:rsidP="002C08A7">
      <w:pPr>
        <w:pStyle w:val="Maintext"/>
      </w:pPr>
    </w:p>
    <w:p w14:paraId="1E52B1BD" w14:textId="77777777" w:rsidR="00924CBC" w:rsidRDefault="00924CBC" w:rsidP="002C08A7">
      <w:pPr>
        <w:pStyle w:val="Maintext"/>
      </w:pPr>
      <w:r>
        <w:t>It is important to note that you should never use any abrasive materials to clean the frames or handles.</w:t>
      </w:r>
    </w:p>
    <w:p w14:paraId="6579560E" w14:textId="77777777" w:rsidR="00094C2D" w:rsidRDefault="00DC10C2" w:rsidP="002C08A7">
      <w:pPr>
        <w:pStyle w:val="Maintext"/>
      </w:pPr>
      <w:r w:rsidRPr="00DC10C2">
        <w:rPr>
          <w:rStyle w:val="TableHeadingChar"/>
        </w:rPr>
        <w:t xml:space="preserve">Frequency of </w:t>
      </w:r>
      <w:r>
        <w:rPr>
          <w:rStyle w:val="TableHeadingChar"/>
        </w:rPr>
        <w:t>C</w:t>
      </w:r>
      <w:r w:rsidRPr="00DC10C2">
        <w:rPr>
          <w:rStyle w:val="TableHeadingChar"/>
        </w:rPr>
        <w:t>leaning</w:t>
      </w:r>
      <w:r>
        <w:br/>
      </w:r>
      <w:r w:rsidR="00094C2D">
        <w:t xml:space="preserve">The frequency of cleaning required depends on the local conditions. For </w:t>
      </w:r>
      <w:r w:rsidR="009314C4">
        <w:t xml:space="preserve">products </w:t>
      </w:r>
      <w:r w:rsidR="00094C2D">
        <w:t>install</w:t>
      </w:r>
      <w:r w:rsidR="009314C4">
        <w:t>ed</w:t>
      </w:r>
      <w:r w:rsidR="00094C2D">
        <w:t xml:space="preserve"> within a corrosive environment such as within 3.2 miles of a coastal area, more frequent cleaning will be required</w:t>
      </w:r>
      <w:r w:rsidR="009314C4">
        <w:t xml:space="preserve"> every 3 months</w:t>
      </w:r>
      <w:r w:rsidR="00094C2D">
        <w:t>.</w:t>
      </w:r>
      <w:r w:rsidR="009314C4">
        <w:t xml:space="preserve"> Whereas within non-corrosive environments cleaning every 6 months will be sufficient. </w:t>
      </w:r>
      <w:r w:rsidR="00094C2D">
        <w:t xml:space="preserve">  </w:t>
      </w:r>
    </w:p>
    <w:p w14:paraId="7AE75257" w14:textId="77777777" w:rsidR="002F133A" w:rsidRDefault="002F133A" w:rsidP="002C08A7">
      <w:pPr>
        <w:pStyle w:val="Maintext"/>
      </w:pPr>
    </w:p>
    <w:p w14:paraId="174ECC18" w14:textId="77777777" w:rsidR="00156501" w:rsidRDefault="00156501" w:rsidP="002C08A7">
      <w:pPr>
        <w:pStyle w:val="Maintext"/>
      </w:pPr>
    </w:p>
    <w:sectPr w:rsidR="00156501" w:rsidSect="00DD19B7">
      <w:headerReference w:type="default" r:id="rId12"/>
      <w:footerReference w:type="default" r:id="rId13"/>
      <w:pgSz w:w="11900" w:h="16840"/>
      <w:pgMar w:top="85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F804B" w14:textId="77777777" w:rsidR="00BA1446" w:rsidRDefault="00BA1446" w:rsidP="00D205D4">
      <w:r>
        <w:separator/>
      </w:r>
    </w:p>
  </w:endnote>
  <w:endnote w:type="continuationSeparator" w:id="0">
    <w:p w14:paraId="46788BEB" w14:textId="77777777" w:rsidR="00BA1446" w:rsidRDefault="00BA1446" w:rsidP="00D2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ller Light">
    <w:altName w:val="Calibri"/>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er">
    <w:altName w:val="Calibri"/>
    <w:charset w:val="00"/>
    <w:family w:val="swiss"/>
    <w:pitch w:val="variable"/>
    <w:sig w:usb0="A00000AF" w:usb1="5000205B" w:usb2="00000000" w:usb3="00000000" w:csb0="0000009B" w:csb1="00000000"/>
  </w:font>
  <w:font w:name="Bergamo Std">
    <w:altName w:val="Cambria"/>
    <w:panose1 w:val="00000000000000000000"/>
    <w:charset w:val="4D"/>
    <w:family w:val="roman"/>
    <w:notTrueType/>
    <w:pitch w:val="variable"/>
    <w:sig w:usb0="800000AF" w:usb1="5000205B" w:usb2="00000000" w:usb3="00000000" w:csb0="00000001" w:csb1="00000000"/>
  </w:font>
  <w:font w:name="GothamLight">
    <w:altName w:val="Calibri"/>
    <w:panose1 w:val="00000000000000000000"/>
    <w:charset w:val="00"/>
    <w:family w:val="modern"/>
    <w:notTrueType/>
    <w:pitch w:val="variable"/>
    <w:sig w:usb0="8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B6A00" w14:textId="77777777" w:rsidR="000011AA" w:rsidRDefault="00786C56">
    <w:pPr>
      <w:pStyle w:val="Footer"/>
    </w:pPr>
    <w:r>
      <w:rPr>
        <w:noProof/>
      </w:rPr>
      <w:drawing>
        <wp:anchor distT="0" distB="0" distL="114300" distR="114300" simplePos="0" relativeHeight="251659264" behindDoc="1" locked="0" layoutInCell="1" allowOverlap="1" wp14:anchorId="198A57E8" wp14:editId="6B5B25B6">
          <wp:simplePos x="0" y="0"/>
          <wp:positionH relativeFrom="page">
            <wp:align>right</wp:align>
          </wp:positionH>
          <wp:positionV relativeFrom="page">
            <wp:posOffset>9705340</wp:posOffset>
          </wp:positionV>
          <wp:extent cx="7562850" cy="1118591"/>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A Letterheading.jpg"/>
                  <pic:cNvPicPr/>
                </pic:nvPicPr>
                <pic:blipFill rotWithShape="1">
                  <a:blip r:embed="rId1">
                    <a:extLst>
                      <a:ext uri="{28A0092B-C50C-407E-A947-70E740481C1C}">
                        <a14:useLocalDpi xmlns:a14="http://schemas.microsoft.com/office/drawing/2010/main" val="0"/>
                      </a:ext>
                    </a:extLst>
                  </a:blip>
                  <a:srcRect l="126" t="89270" r="-126" b="267"/>
                  <a:stretch/>
                </pic:blipFill>
                <pic:spPr bwMode="auto">
                  <a:xfrm>
                    <a:off x="0" y="0"/>
                    <a:ext cx="7562850" cy="11185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6F955" w14:textId="77777777" w:rsidR="00BA1446" w:rsidRDefault="00BA1446" w:rsidP="00D205D4">
      <w:r>
        <w:separator/>
      </w:r>
    </w:p>
  </w:footnote>
  <w:footnote w:type="continuationSeparator" w:id="0">
    <w:p w14:paraId="1EA589F8" w14:textId="77777777" w:rsidR="00BA1446" w:rsidRDefault="00BA1446" w:rsidP="00D2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CC530" w14:textId="77777777" w:rsidR="00D205D4" w:rsidRDefault="00D205D4" w:rsidP="00D205D4">
    <w:pPr>
      <w:pStyle w:val="Header"/>
      <w:tabs>
        <w:tab w:val="clear" w:pos="4680"/>
        <w:tab w:val="clear" w:pos="9360"/>
        <w:tab w:val="left" w:pos="33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43ACF"/>
    <w:multiLevelType w:val="hybridMultilevel"/>
    <w:tmpl w:val="343C4830"/>
    <w:lvl w:ilvl="0" w:tplc="11D80FEC">
      <w:numFmt w:val="bullet"/>
      <w:lvlText w:val="•"/>
      <w:lvlJc w:val="left"/>
      <w:pPr>
        <w:ind w:left="1080" w:hanging="720"/>
      </w:pPr>
      <w:rPr>
        <w:rFonts w:ascii="Aller Light" w:eastAsiaTheme="minorHAnsi" w:hAnsi="Aller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150A0"/>
    <w:multiLevelType w:val="hybridMultilevel"/>
    <w:tmpl w:val="C4AC8732"/>
    <w:lvl w:ilvl="0" w:tplc="11D80FEC">
      <w:numFmt w:val="bullet"/>
      <w:lvlText w:val="•"/>
      <w:lvlJc w:val="left"/>
      <w:pPr>
        <w:ind w:left="1080" w:hanging="720"/>
      </w:pPr>
      <w:rPr>
        <w:rFonts w:ascii="Aller Light" w:eastAsiaTheme="minorHAnsi" w:hAnsi="Aller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D24D39"/>
    <w:multiLevelType w:val="hybridMultilevel"/>
    <w:tmpl w:val="AB14AFAE"/>
    <w:lvl w:ilvl="0" w:tplc="11D80FEC">
      <w:numFmt w:val="bullet"/>
      <w:lvlText w:val="•"/>
      <w:lvlJc w:val="left"/>
      <w:pPr>
        <w:ind w:left="1080" w:hanging="720"/>
      </w:pPr>
      <w:rPr>
        <w:rFonts w:ascii="Aller Light" w:eastAsiaTheme="minorHAnsi" w:hAnsi="Aller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CE51AA"/>
    <w:multiLevelType w:val="hybridMultilevel"/>
    <w:tmpl w:val="5F108558"/>
    <w:lvl w:ilvl="0" w:tplc="11D80FEC">
      <w:numFmt w:val="bullet"/>
      <w:lvlText w:val="•"/>
      <w:lvlJc w:val="left"/>
      <w:pPr>
        <w:ind w:left="1080" w:hanging="720"/>
      </w:pPr>
      <w:rPr>
        <w:rFonts w:ascii="Aller Light" w:eastAsiaTheme="minorHAnsi" w:hAnsi="Aller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D33087"/>
    <w:multiLevelType w:val="hybridMultilevel"/>
    <w:tmpl w:val="E3E8E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127127">
    <w:abstractNumId w:val="4"/>
  </w:num>
  <w:num w:numId="2" w16cid:durableId="1387802694">
    <w:abstractNumId w:val="0"/>
  </w:num>
  <w:num w:numId="3" w16cid:durableId="289290833">
    <w:abstractNumId w:val="2"/>
  </w:num>
  <w:num w:numId="4" w16cid:durableId="1435588509">
    <w:abstractNumId w:val="3"/>
  </w:num>
  <w:num w:numId="5" w16cid:durableId="924147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3szS3MLGwMDAysTRV0lEKTi0uzszPAykwqQUA0zYdHiwAAAA="/>
  </w:docVars>
  <w:rsids>
    <w:rsidRoot w:val="00D205D4"/>
    <w:rsid w:val="000011AA"/>
    <w:rsid w:val="00047EFC"/>
    <w:rsid w:val="00094C2D"/>
    <w:rsid w:val="00156501"/>
    <w:rsid w:val="001644E0"/>
    <w:rsid w:val="00174BB7"/>
    <w:rsid w:val="001D6248"/>
    <w:rsid w:val="0024548A"/>
    <w:rsid w:val="00267EB3"/>
    <w:rsid w:val="002A2520"/>
    <w:rsid w:val="002C08A7"/>
    <w:rsid w:val="002F133A"/>
    <w:rsid w:val="003C522F"/>
    <w:rsid w:val="00426ADA"/>
    <w:rsid w:val="0049394C"/>
    <w:rsid w:val="005D7A6A"/>
    <w:rsid w:val="00660633"/>
    <w:rsid w:val="00745F86"/>
    <w:rsid w:val="00784D8C"/>
    <w:rsid w:val="00786C56"/>
    <w:rsid w:val="00866298"/>
    <w:rsid w:val="00893AFD"/>
    <w:rsid w:val="008E359E"/>
    <w:rsid w:val="008F4A53"/>
    <w:rsid w:val="009174DB"/>
    <w:rsid w:val="00924CBC"/>
    <w:rsid w:val="009314C4"/>
    <w:rsid w:val="00967D49"/>
    <w:rsid w:val="00A14B29"/>
    <w:rsid w:val="00AC7685"/>
    <w:rsid w:val="00AF6887"/>
    <w:rsid w:val="00BA1446"/>
    <w:rsid w:val="00C44763"/>
    <w:rsid w:val="00C83BA1"/>
    <w:rsid w:val="00C92853"/>
    <w:rsid w:val="00CF485F"/>
    <w:rsid w:val="00D02B7D"/>
    <w:rsid w:val="00D205D4"/>
    <w:rsid w:val="00D829C1"/>
    <w:rsid w:val="00DB5E67"/>
    <w:rsid w:val="00DC0A23"/>
    <w:rsid w:val="00DC10C2"/>
    <w:rsid w:val="00DD19B7"/>
    <w:rsid w:val="00E4378F"/>
    <w:rsid w:val="00E76B0D"/>
    <w:rsid w:val="00E94915"/>
    <w:rsid w:val="00EC4E0A"/>
    <w:rsid w:val="00F74746"/>
    <w:rsid w:val="00F94739"/>
    <w:rsid w:val="00FF6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2C2AD6E"/>
  <w15:chartTrackingRefBased/>
  <w15:docId w15:val="{9C7BD24A-DFA6-024A-BEC5-DC7449C7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2"/>
    <w:basedOn w:val="Normal"/>
    <w:next w:val="Normal"/>
    <w:link w:val="Heading2Char"/>
    <w:uiPriority w:val="9"/>
    <w:unhideWhenUsed/>
    <w:qFormat/>
    <w:rsid w:val="00924CBC"/>
    <w:pPr>
      <w:keepNext/>
      <w:keepLines/>
      <w:spacing w:before="40"/>
      <w:outlineLvl w:val="1"/>
    </w:pPr>
    <w:rPr>
      <w:rFonts w:ascii="Aller" w:eastAsiaTheme="majorEastAsia" w:hAnsi="Aller" w:cstheme="majorBidi"/>
      <w:color w:val="102D6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text">
    <w:name w:val="Footer text"/>
    <w:basedOn w:val="Normal"/>
    <w:qFormat/>
    <w:rsid w:val="00E4378F"/>
    <w:pPr>
      <w:jc w:val="center"/>
    </w:pPr>
    <w:rPr>
      <w:rFonts w:ascii="Bergamo Std" w:hAnsi="Bergamo Std"/>
      <w:b/>
      <w:sz w:val="21"/>
    </w:rPr>
  </w:style>
  <w:style w:type="paragraph" w:styleId="Header">
    <w:name w:val="header"/>
    <w:basedOn w:val="Normal"/>
    <w:link w:val="HeaderChar"/>
    <w:uiPriority w:val="99"/>
    <w:unhideWhenUsed/>
    <w:rsid w:val="00D205D4"/>
    <w:pPr>
      <w:tabs>
        <w:tab w:val="center" w:pos="4680"/>
        <w:tab w:val="right" w:pos="9360"/>
      </w:tabs>
    </w:pPr>
  </w:style>
  <w:style w:type="character" w:customStyle="1" w:styleId="HeaderChar">
    <w:name w:val="Header Char"/>
    <w:basedOn w:val="DefaultParagraphFont"/>
    <w:link w:val="Header"/>
    <w:uiPriority w:val="99"/>
    <w:rsid w:val="00D205D4"/>
  </w:style>
  <w:style w:type="paragraph" w:styleId="Footer">
    <w:name w:val="footer"/>
    <w:basedOn w:val="Normal"/>
    <w:link w:val="FooterChar"/>
    <w:uiPriority w:val="99"/>
    <w:unhideWhenUsed/>
    <w:rsid w:val="00D205D4"/>
    <w:pPr>
      <w:tabs>
        <w:tab w:val="center" w:pos="4680"/>
        <w:tab w:val="right" w:pos="9360"/>
      </w:tabs>
    </w:pPr>
  </w:style>
  <w:style w:type="character" w:customStyle="1" w:styleId="FooterChar">
    <w:name w:val="Footer Char"/>
    <w:basedOn w:val="DefaultParagraphFont"/>
    <w:link w:val="Footer"/>
    <w:uiPriority w:val="99"/>
    <w:rsid w:val="00D205D4"/>
  </w:style>
  <w:style w:type="table" w:styleId="TableGrid">
    <w:name w:val="Table Grid"/>
    <w:basedOn w:val="TableNormal"/>
    <w:uiPriority w:val="39"/>
    <w:rsid w:val="0015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link w:val="P1Char"/>
    <w:qFormat/>
    <w:rsid w:val="00FF6D93"/>
    <w:pPr>
      <w:tabs>
        <w:tab w:val="left" w:pos="1125"/>
        <w:tab w:val="left" w:pos="1755"/>
      </w:tabs>
      <w:spacing w:after="160" w:line="276" w:lineRule="auto"/>
    </w:pPr>
    <w:rPr>
      <w:rFonts w:ascii="GothamLight" w:hAnsi="GothamLight"/>
      <w:noProof/>
      <w:sz w:val="20"/>
      <w:szCs w:val="20"/>
    </w:rPr>
  </w:style>
  <w:style w:type="character" w:customStyle="1" w:styleId="P1Char">
    <w:name w:val="P1 Char"/>
    <w:basedOn w:val="DefaultParagraphFont"/>
    <w:link w:val="P1"/>
    <w:rsid w:val="00FF6D93"/>
    <w:rPr>
      <w:rFonts w:ascii="GothamLight" w:hAnsi="GothamLight"/>
      <w:noProof/>
      <w:sz w:val="20"/>
      <w:szCs w:val="20"/>
    </w:rPr>
  </w:style>
  <w:style w:type="character" w:styleId="UnresolvedMention">
    <w:name w:val="Unresolved Mention"/>
    <w:basedOn w:val="DefaultParagraphFont"/>
    <w:uiPriority w:val="99"/>
    <w:semiHidden/>
    <w:unhideWhenUsed/>
    <w:rsid w:val="00FF6D93"/>
    <w:rPr>
      <w:color w:val="605E5C"/>
      <w:shd w:val="clear" w:color="auto" w:fill="E1DFDD"/>
    </w:rPr>
  </w:style>
  <w:style w:type="paragraph" w:customStyle="1" w:styleId="H1">
    <w:name w:val="H1"/>
    <w:basedOn w:val="Normal"/>
    <w:link w:val="H1Char"/>
    <w:qFormat/>
    <w:rsid w:val="0024548A"/>
    <w:pPr>
      <w:ind w:right="-903"/>
      <w:jc w:val="center"/>
    </w:pPr>
    <w:rPr>
      <w:rFonts w:ascii="Arial" w:hAnsi="Arial"/>
      <w:color w:val="102D69"/>
      <w:spacing w:val="40"/>
      <w:sz w:val="56"/>
      <w:szCs w:val="48"/>
    </w:rPr>
  </w:style>
  <w:style w:type="paragraph" w:customStyle="1" w:styleId="TableHeading">
    <w:name w:val="Table Heading"/>
    <w:basedOn w:val="Normal"/>
    <w:link w:val="TableHeadingChar"/>
    <w:qFormat/>
    <w:rsid w:val="0024548A"/>
    <w:rPr>
      <w:rFonts w:ascii="Arial" w:hAnsi="Arial"/>
      <w:color w:val="102D69"/>
      <w:spacing w:val="30"/>
    </w:rPr>
  </w:style>
  <w:style w:type="character" w:customStyle="1" w:styleId="H1Char">
    <w:name w:val="H1 Char"/>
    <w:basedOn w:val="DefaultParagraphFont"/>
    <w:link w:val="H1"/>
    <w:rsid w:val="0024548A"/>
    <w:rPr>
      <w:rFonts w:ascii="Arial" w:hAnsi="Arial"/>
      <w:color w:val="102D69"/>
      <w:spacing w:val="40"/>
      <w:sz w:val="56"/>
      <w:szCs w:val="48"/>
    </w:rPr>
  </w:style>
  <w:style w:type="paragraph" w:customStyle="1" w:styleId="Maintext">
    <w:name w:val="Main text"/>
    <w:basedOn w:val="Normal"/>
    <w:link w:val="MaintextChar"/>
    <w:qFormat/>
    <w:rsid w:val="0024548A"/>
    <w:pPr>
      <w:spacing w:before="120" w:after="120" w:line="360" w:lineRule="auto"/>
    </w:pPr>
    <w:rPr>
      <w:rFonts w:ascii="Arial" w:hAnsi="Arial"/>
      <w:color w:val="3B3838" w:themeColor="background2" w:themeShade="40"/>
      <w:sz w:val="22"/>
      <w:szCs w:val="22"/>
    </w:rPr>
  </w:style>
  <w:style w:type="character" w:customStyle="1" w:styleId="TableHeadingChar">
    <w:name w:val="Table Heading Char"/>
    <w:basedOn w:val="DefaultParagraphFont"/>
    <w:link w:val="TableHeading"/>
    <w:rsid w:val="0024548A"/>
    <w:rPr>
      <w:rFonts w:ascii="Arial" w:hAnsi="Arial"/>
      <w:color w:val="102D69"/>
      <w:spacing w:val="30"/>
    </w:rPr>
  </w:style>
  <w:style w:type="paragraph" w:customStyle="1" w:styleId="Tabletext">
    <w:name w:val="Table text"/>
    <w:basedOn w:val="Normal"/>
    <w:link w:val="TabletextChar"/>
    <w:qFormat/>
    <w:rsid w:val="0024548A"/>
    <w:pPr>
      <w:spacing w:before="120" w:after="120" w:line="360" w:lineRule="auto"/>
    </w:pPr>
    <w:rPr>
      <w:rFonts w:ascii="Arial" w:hAnsi="Arial"/>
      <w:color w:val="3B3838" w:themeColor="background2" w:themeShade="40"/>
      <w:sz w:val="20"/>
      <w:szCs w:val="20"/>
    </w:rPr>
  </w:style>
  <w:style w:type="character" w:customStyle="1" w:styleId="MaintextChar">
    <w:name w:val="Main text Char"/>
    <w:basedOn w:val="DefaultParagraphFont"/>
    <w:link w:val="Maintext"/>
    <w:rsid w:val="0024548A"/>
    <w:rPr>
      <w:rFonts w:ascii="Arial" w:hAnsi="Arial"/>
      <w:color w:val="3B3838" w:themeColor="background2" w:themeShade="40"/>
      <w:sz w:val="22"/>
      <w:szCs w:val="22"/>
    </w:rPr>
  </w:style>
  <w:style w:type="character" w:customStyle="1" w:styleId="Heading2Char">
    <w:name w:val="Heading 2 Char"/>
    <w:aliases w:val="H2 Char"/>
    <w:basedOn w:val="DefaultParagraphFont"/>
    <w:link w:val="Heading2"/>
    <w:uiPriority w:val="9"/>
    <w:rsid w:val="00924CBC"/>
    <w:rPr>
      <w:rFonts w:ascii="Aller" w:eastAsiaTheme="majorEastAsia" w:hAnsi="Aller" w:cstheme="majorBidi"/>
      <w:color w:val="102D69"/>
      <w:sz w:val="26"/>
      <w:szCs w:val="26"/>
    </w:rPr>
  </w:style>
  <w:style w:type="character" w:customStyle="1" w:styleId="TabletextChar">
    <w:name w:val="Table text Char"/>
    <w:basedOn w:val="DefaultParagraphFont"/>
    <w:link w:val="Tabletext"/>
    <w:rsid w:val="0024548A"/>
    <w:rPr>
      <w:rFonts w:ascii="Arial" w:hAnsi="Arial"/>
      <w:color w:val="3B3838" w:themeColor="background2" w:themeShade="40"/>
      <w:sz w:val="20"/>
      <w:szCs w:val="20"/>
    </w:rPr>
  </w:style>
  <w:style w:type="character" w:styleId="Hyperlink">
    <w:name w:val="Hyperlink"/>
    <w:basedOn w:val="DefaultParagraphFont"/>
    <w:uiPriority w:val="99"/>
    <w:unhideWhenUsed/>
    <w:rsid w:val="00924CBC"/>
    <w:rPr>
      <w:color w:val="0563C1" w:themeColor="hyperlink"/>
      <w:u w:val="single"/>
    </w:rPr>
  </w:style>
  <w:style w:type="paragraph" w:customStyle="1" w:styleId="Links">
    <w:name w:val="Links"/>
    <w:basedOn w:val="Maintext"/>
    <w:link w:val="LinksChar"/>
    <w:qFormat/>
    <w:rsid w:val="00DD19B7"/>
    <w:rPr>
      <w:color w:val="102D69"/>
      <w:u w:val="single"/>
    </w:rPr>
  </w:style>
  <w:style w:type="character" w:customStyle="1" w:styleId="LinksChar">
    <w:name w:val="Links Char"/>
    <w:basedOn w:val="MaintextChar"/>
    <w:link w:val="Links"/>
    <w:rsid w:val="00DD19B7"/>
    <w:rPr>
      <w:rFonts w:ascii="Aller Light" w:hAnsi="Aller Light"/>
      <w:color w:val="102D69"/>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etertradealuminium.co.uk/downloa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exetertradealuminium.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les@exetertradealuminium.co.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FEC1E-3904-426E-AC8E-69CE37AC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9</Pages>
  <Words>2001</Words>
  <Characters>10689</Characters>
  <Application>Microsoft Office Word</Application>
  <DocSecurity>0</DocSecurity>
  <Lines>344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 James</dc:creator>
  <cp:keywords/>
  <dc:description/>
  <cp:lastModifiedBy>Dan Savage</cp:lastModifiedBy>
  <cp:revision>17</cp:revision>
  <cp:lastPrinted>2023-06-06T14:45:00Z</cp:lastPrinted>
  <dcterms:created xsi:type="dcterms:W3CDTF">2023-06-06T08:24:00Z</dcterms:created>
  <dcterms:modified xsi:type="dcterms:W3CDTF">2024-10-08T15:56:00Z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a9e1278046acfcbf9730e32c27c6c2b0a540dda87799b3cbaab41fa7a859cfd0</vt:lpwstr>
  </property>
</Properties>
</file>